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85FF6B">
      <w:pPr>
        <w:spacing w:line="360" w:lineRule="auto"/>
        <w:jc w:val="both"/>
        <w:rPr>
          <w:rFonts w:ascii="宋体"/>
          <w:b/>
          <w:sz w:val="30"/>
          <w:szCs w:val="30"/>
        </w:rPr>
      </w:pPr>
      <w:bookmarkStart w:id="0" w:name="_Toc504988290"/>
      <w:bookmarkStart w:id="1" w:name="_Toc504987191"/>
    </w:p>
    <w:p w14:paraId="75EE1A37">
      <w:pPr>
        <w:spacing w:line="360" w:lineRule="auto"/>
        <w:jc w:val="both"/>
        <w:rPr>
          <w:rFonts w:ascii="宋体"/>
          <w:b/>
          <w:sz w:val="30"/>
          <w:szCs w:val="30"/>
        </w:rPr>
      </w:pPr>
    </w:p>
    <w:p w14:paraId="6E638F93">
      <w:pPr>
        <w:spacing w:line="360" w:lineRule="auto"/>
        <w:jc w:val="both"/>
        <w:rPr>
          <w:rFonts w:ascii="宋体"/>
          <w:b/>
          <w:sz w:val="30"/>
          <w:szCs w:val="30"/>
        </w:rPr>
      </w:pPr>
    </w:p>
    <w:p w14:paraId="0190D003">
      <w:pPr>
        <w:spacing w:line="360" w:lineRule="auto"/>
        <w:jc w:val="center"/>
        <w:rPr>
          <w:rFonts w:ascii="宋体"/>
          <w:b/>
          <w:sz w:val="30"/>
          <w:szCs w:val="30"/>
        </w:rPr>
      </w:pPr>
    </w:p>
    <w:p w14:paraId="42AB3EFD">
      <w:pPr>
        <w:pStyle w:val="17"/>
      </w:pPr>
    </w:p>
    <w:p w14:paraId="75A4B84B">
      <w:pPr>
        <w:widowControl/>
        <w:spacing w:line="360" w:lineRule="auto"/>
        <w:jc w:val="center"/>
        <w:rPr>
          <w:rFonts w:hint="eastAsia" w:ascii="宋体" w:hAnsi="宋体"/>
          <w:b/>
          <w:kern w:val="0"/>
          <w:sz w:val="72"/>
          <w:szCs w:val="72"/>
          <w:lang w:val="en-US" w:eastAsia="zh-CN"/>
        </w:rPr>
      </w:pPr>
      <w:r>
        <w:rPr>
          <w:rFonts w:hint="eastAsia" w:ascii="宋体" w:hAnsi="宋体"/>
          <w:b/>
          <w:kern w:val="0"/>
          <w:sz w:val="72"/>
          <w:szCs w:val="72"/>
          <w:lang w:val="en-US" w:eastAsia="zh-CN"/>
        </w:rPr>
        <w:t>四川省成都市第二中学</w:t>
      </w:r>
    </w:p>
    <w:p w14:paraId="5A0D2E94">
      <w:pPr>
        <w:spacing w:line="360" w:lineRule="auto"/>
        <w:jc w:val="center"/>
        <w:rPr>
          <w:rFonts w:ascii="宋体" w:hAnsi="宋体"/>
          <w:b/>
          <w:kern w:val="0"/>
          <w:sz w:val="72"/>
          <w:szCs w:val="72"/>
        </w:rPr>
      </w:pPr>
      <w:r>
        <w:rPr>
          <w:rFonts w:hint="eastAsia" w:ascii="宋体" w:hAnsi="宋体"/>
          <w:b/>
          <w:kern w:val="0"/>
          <w:sz w:val="72"/>
          <w:szCs w:val="72"/>
          <w:lang w:val="en-US" w:eastAsia="zh-CN"/>
        </w:rPr>
        <w:t>新校区图书采购项目</w:t>
      </w:r>
      <w:r>
        <w:rPr>
          <w:rFonts w:ascii="宋体" w:hAnsi="宋体"/>
          <w:b/>
          <w:kern w:val="0"/>
          <w:sz w:val="72"/>
          <w:szCs w:val="72"/>
        </w:rPr>
        <w:t>竞争性谈判文件</w:t>
      </w:r>
    </w:p>
    <w:p w14:paraId="2B23B256">
      <w:pPr>
        <w:spacing w:line="360" w:lineRule="auto"/>
        <w:ind w:firstLine="1084" w:firstLineChars="150"/>
        <w:jc w:val="center"/>
        <w:rPr>
          <w:rFonts w:ascii="宋体" w:hAnsi="宋体"/>
          <w:b/>
          <w:kern w:val="0"/>
          <w:sz w:val="72"/>
          <w:szCs w:val="72"/>
        </w:rPr>
      </w:pPr>
    </w:p>
    <w:p w14:paraId="740E0218">
      <w:pPr>
        <w:spacing w:line="360" w:lineRule="auto"/>
        <w:jc w:val="center"/>
        <w:rPr>
          <w:b/>
          <w:sz w:val="32"/>
          <w:szCs w:val="32"/>
        </w:rPr>
      </w:pPr>
    </w:p>
    <w:p w14:paraId="38D1B21C">
      <w:pPr>
        <w:spacing w:line="360" w:lineRule="auto"/>
        <w:jc w:val="center"/>
        <w:rPr>
          <w:b/>
          <w:sz w:val="32"/>
          <w:szCs w:val="32"/>
        </w:rPr>
      </w:pPr>
    </w:p>
    <w:p w14:paraId="7B514402">
      <w:pPr>
        <w:spacing w:line="360" w:lineRule="auto"/>
        <w:jc w:val="center"/>
        <w:rPr>
          <w:b/>
          <w:sz w:val="32"/>
          <w:szCs w:val="32"/>
        </w:rPr>
      </w:pPr>
    </w:p>
    <w:p w14:paraId="64196A3C">
      <w:pPr>
        <w:spacing w:line="360" w:lineRule="auto"/>
        <w:jc w:val="center"/>
        <w:rPr>
          <w:b/>
          <w:sz w:val="32"/>
          <w:szCs w:val="32"/>
        </w:rPr>
      </w:pPr>
    </w:p>
    <w:p w14:paraId="1D8E714E">
      <w:pPr>
        <w:spacing w:line="360" w:lineRule="auto"/>
        <w:jc w:val="center"/>
        <w:rPr>
          <w:b/>
          <w:sz w:val="32"/>
          <w:szCs w:val="32"/>
        </w:rPr>
      </w:pPr>
    </w:p>
    <w:p w14:paraId="0ABE959F">
      <w:pPr>
        <w:spacing w:line="360" w:lineRule="auto"/>
        <w:jc w:val="center"/>
        <w:rPr>
          <w:b/>
          <w:sz w:val="32"/>
          <w:szCs w:val="32"/>
        </w:rPr>
      </w:pPr>
    </w:p>
    <w:p w14:paraId="343509F5">
      <w:pPr>
        <w:spacing w:line="360" w:lineRule="auto"/>
        <w:jc w:val="center"/>
        <w:rPr>
          <w:rFonts w:hint="eastAsia"/>
          <w:b/>
          <w:sz w:val="40"/>
          <w:szCs w:val="40"/>
          <w:lang w:val="en-US" w:eastAsia="zh-CN"/>
        </w:rPr>
      </w:pPr>
      <w:r>
        <w:rPr>
          <w:rFonts w:hint="eastAsia"/>
          <w:b/>
          <w:sz w:val="40"/>
          <w:szCs w:val="40"/>
          <w:lang w:val="en-US" w:eastAsia="zh-CN"/>
        </w:rPr>
        <w:t>四川省成都市第二中学</w:t>
      </w:r>
    </w:p>
    <w:p w14:paraId="201E23FD">
      <w:pPr>
        <w:spacing w:line="360" w:lineRule="auto"/>
        <w:jc w:val="center"/>
        <w:rPr>
          <w:b/>
          <w:bCs/>
          <w:sz w:val="40"/>
          <w:szCs w:val="40"/>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760" w:header="851" w:footer="992" w:gutter="0"/>
          <w:pgNumType w:start="1"/>
          <w:cols w:space="720" w:num="1"/>
          <w:titlePg/>
          <w:docGrid w:type="lines" w:linePitch="312" w:charSpace="0"/>
        </w:sectPr>
      </w:pPr>
      <w:r>
        <w:rPr>
          <w:rFonts w:hint="eastAsia" w:ascii="宋体"/>
          <w:b/>
          <w:sz w:val="36"/>
          <w:szCs w:val="36"/>
        </w:rPr>
        <w:t>20</w:t>
      </w:r>
      <w:r>
        <w:rPr>
          <w:rFonts w:hint="eastAsia" w:ascii="宋体"/>
          <w:b/>
          <w:sz w:val="36"/>
          <w:szCs w:val="36"/>
          <w:lang w:val="en-US" w:eastAsia="zh-CN"/>
        </w:rPr>
        <w:t>25</w:t>
      </w:r>
      <w:r>
        <w:rPr>
          <w:b/>
          <w:bCs/>
          <w:sz w:val="40"/>
          <w:szCs w:val="40"/>
          <w:lang w:val="zh-CN"/>
        </w:rPr>
        <w:t>年</w:t>
      </w:r>
      <w:r>
        <w:rPr>
          <w:rFonts w:hint="eastAsia"/>
          <w:b/>
          <w:bCs/>
          <w:sz w:val="40"/>
          <w:szCs w:val="40"/>
          <w:lang w:val="en-US" w:eastAsia="zh-CN"/>
        </w:rPr>
        <w:t>8</w:t>
      </w:r>
      <w:r>
        <w:rPr>
          <w:b/>
          <w:bCs/>
          <w:sz w:val="40"/>
          <w:szCs w:val="40"/>
          <w:lang w:val="zh-CN"/>
        </w:rPr>
        <w:t>月</w:t>
      </w:r>
    </w:p>
    <w:p w14:paraId="477462EE">
      <w:pPr>
        <w:spacing w:line="360" w:lineRule="auto"/>
        <w:jc w:val="center"/>
        <w:rPr>
          <w:b/>
          <w:sz w:val="32"/>
          <w:szCs w:val="32"/>
        </w:rPr>
      </w:pPr>
      <w:r>
        <w:rPr>
          <w:rFonts w:hint="eastAsia"/>
          <w:b/>
          <w:sz w:val="32"/>
          <w:szCs w:val="32"/>
        </w:rPr>
        <w:t>目 录</w:t>
      </w:r>
    </w:p>
    <w:p w14:paraId="1A721120">
      <w:pPr>
        <w:pStyle w:val="30"/>
        <w:tabs>
          <w:tab w:val="right" w:leader="dot" w:pos="8317"/>
        </w:tabs>
      </w:pPr>
      <w:r>
        <w:fldChar w:fldCharType="begin"/>
      </w:r>
      <w:r>
        <w:instrText xml:space="preserve"> TOC \o "1-2" \h \z \u </w:instrText>
      </w:r>
      <w:r>
        <w:fldChar w:fldCharType="separate"/>
      </w:r>
      <w:r>
        <w:fldChar w:fldCharType="begin"/>
      </w:r>
      <w:r>
        <w:instrText xml:space="preserve"> HYPERLINK \l _Toc10467 </w:instrText>
      </w:r>
      <w:r>
        <w:fldChar w:fldCharType="separate"/>
      </w:r>
      <w:r>
        <w:rPr>
          <w:rFonts w:hint="eastAsia"/>
        </w:rPr>
        <w:t>第一章  谈判邀请</w:t>
      </w:r>
      <w:r>
        <w:tab/>
      </w:r>
      <w:r>
        <w:fldChar w:fldCharType="begin"/>
      </w:r>
      <w:r>
        <w:instrText xml:space="preserve"> PAGEREF _Toc10467 \h </w:instrText>
      </w:r>
      <w:r>
        <w:fldChar w:fldCharType="separate"/>
      </w:r>
      <w:r>
        <w:t>1</w:t>
      </w:r>
      <w:r>
        <w:fldChar w:fldCharType="end"/>
      </w:r>
      <w:r>
        <w:fldChar w:fldCharType="end"/>
      </w:r>
    </w:p>
    <w:p w14:paraId="31323F16">
      <w:pPr>
        <w:pStyle w:val="30"/>
        <w:tabs>
          <w:tab w:val="right" w:leader="dot" w:pos="8317"/>
        </w:tabs>
      </w:pPr>
      <w:r>
        <w:fldChar w:fldCharType="begin"/>
      </w:r>
      <w:r>
        <w:instrText xml:space="preserve"> HYPERLINK \l _Toc14710 </w:instrText>
      </w:r>
      <w:r>
        <w:fldChar w:fldCharType="separate"/>
      </w:r>
      <w:r>
        <w:rPr>
          <w:rFonts w:hint="eastAsia"/>
        </w:rPr>
        <w:t>第二章  谈判须知</w:t>
      </w:r>
      <w:r>
        <w:tab/>
      </w:r>
      <w:r>
        <w:fldChar w:fldCharType="begin"/>
      </w:r>
      <w:r>
        <w:instrText xml:space="preserve"> PAGEREF _Toc14710 \h </w:instrText>
      </w:r>
      <w:r>
        <w:fldChar w:fldCharType="separate"/>
      </w:r>
      <w:r>
        <w:t>3</w:t>
      </w:r>
      <w:r>
        <w:fldChar w:fldCharType="end"/>
      </w:r>
      <w:r>
        <w:fldChar w:fldCharType="end"/>
      </w:r>
    </w:p>
    <w:p w14:paraId="4B5C7F3E">
      <w:pPr>
        <w:pStyle w:val="35"/>
        <w:tabs>
          <w:tab w:val="right" w:leader="dot" w:pos="8317"/>
        </w:tabs>
      </w:pPr>
      <w:r>
        <w:fldChar w:fldCharType="begin"/>
      </w:r>
      <w:r>
        <w:instrText xml:space="preserve"> HYPERLINK \l _Toc16604 </w:instrText>
      </w:r>
      <w:r>
        <w:fldChar w:fldCharType="separate"/>
      </w:r>
      <w:r>
        <w:rPr>
          <w:rFonts w:hint="eastAsia"/>
        </w:rPr>
        <w:t>一、供应商须知附表</w:t>
      </w:r>
      <w:r>
        <w:tab/>
      </w:r>
      <w:r>
        <w:fldChar w:fldCharType="begin"/>
      </w:r>
      <w:r>
        <w:instrText xml:space="preserve"> PAGEREF _Toc16604 \h </w:instrText>
      </w:r>
      <w:r>
        <w:fldChar w:fldCharType="separate"/>
      </w:r>
      <w:r>
        <w:t>3</w:t>
      </w:r>
      <w:r>
        <w:fldChar w:fldCharType="end"/>
      </w:r>
      <w:r>
        <w:fldChar w:fldCharType="end"/>
      </w:r>
    </w:p>
    <w:p w14:paraId="73DD35F1">
      <w:pPr>
        <w:pStyle w:val="35"/>
        <w:tabs>
          <w:tab w:val="right" w:leader="dot" w:pos="8317"/>
        </w:tabs>
      </w:pPr>
      <w:r>
        <w:fldChar w:fldCharType="begin"/>
      </w:r>
      <w:r>
        <w:instrText xml:space="preserve"> HYPERLINK \l _Toc32571 </w:instrText>
      </w:r>
      <w:r>
        <w:fldChar w:fldCharType="separate"/>
      </w:r>
      <w:r>
        <w:rPr>
          <w:rFonts w:hint="eastAsia" w:ascii="黑体"/>
          <w:bCs w:val="0"/>
        </w:rPr>
        <w:t>二、总  则</w:t>
      </w:r>
      <w:r>
        <w:tab/>
      </w:r>
      <w:r>
        <w:fldChar w:fldCharType="begin"/>
      </w:r>
      <w:r>
        <w:instrText xml:space="preserve"> PAGEREF _Toc32571 \h </w:instrText>
      </w:r>
      <w:r>
        <w:fldChar w:fldCharType="separate"/>
      </w:r>
      <w:r>
        <w:t>5</w:t>
      </w:r>
      <w:r>
        <w:fldChar w:fldCharType="end"/>
      </w:r>
      <w:r>
        <w:fldChar w:fldCharType="end"/>
      </w:r>
    </w:p>
    <w:p w14:paraId="660D3165">
      <w:pPr>
        <w:pStyle w:val="35"/>
        <w:tabs>
          <w:tab w:val="right" w:leader="dot" w:pos="8317"/>
        </w:tabs>
      </w:pPr>
      <w:r>
        <w:fldChar w:fldCharType="begin"/>
      </w:r>
      <w:r>
        <w:instrText xml:space="preserve"> HYPERLINK \l _Toc1688 </w:instrText>
      </w:r>
      <w:r>
        <w:fldChar w:fldCharType="separate"/>
      </w:r>
      <w:r>
        <w:rPr>
          <w:rFonts w:hint="eastAsia" w:ascii="黑体"/>
          <w:bCs w:val="0"/>
        </w:rPr>
        <w:t>三、谈判文件</w:t>
      </w:r>
      <w:r>
        <w:tab/>
      </w:r>
      <w:r>
        <w:fldChar w:fldCharType="begin"/>
      </w:r>
      <w:r>
        <w:instrText xml:space="preserve"> PAGEREF _Toc1688 \h </w:instrText>
      </w:r>
      <w:r>
        <w:fldChar w:fldCharType="separate"/>
      </w:r>
      <w:r>
        <w:t>7</w:t>
      </w:r>
      <w:r>
        <w:fldChar w:fldCharType="end"/>
      </w:r>
      <w:r>
        <w:fldChar w:fldCharType="end"/>
      </w:r>
    </w:p>
    <w:p w14:paraId="177F1D58">
      <w:pPr>
        <w:pStyle w:val="35"/>
        <w:tabs>
          <w:tab w:val="right" w:leader="dot" w:pos="8317"/>
        </w:tabs>
      </w:pPr>
      <w:r>
        <w:fldChar w:fldCharType="begin"/>
      </w:r>
      <w:r>
        <w:instrText xml:space="preserve"> HYPERLINK \l _Toc10374 </w:instrText>
      </w:r>
      <w:r>
        <w:fldChar w:fldCharType="separate"/>
      </w:r>
      <w:r>
        <w:rPr>
          <w:rFonts w:hint="eastAsia" w:ascii="黑体"/>
          <w:bCs w:val="0"/>
        </w:rPr>
        <w:t>四、响应文件</w:t>
      </w:r>
      <w:r>
        <w:tab/>
      </w:r>
      <w:r>
        <w:fldChar w:fldCharType="begin"/>
      </w:r>
      <w:r>
        <w:instrText xml:space="preserve"> PAGEREF _Toc10374 \h </w:instrText>
      </w:r>
      <w:r>
        <w:fldChar w:fldCharType="separate"/>
      </w:r>
      <w:r>
        <w:t>8</w:t>
      </w:r>
      <w:r>
        <w:fldChar w:fldCharType="end"/>
      </w:r>
      <w:r>
        <w:fldChar w:fldCharType="end"/>
      </w:r>
    </w:p>
    <w:p w14:paraId="7D0FC33A">
      <w:pPr>
        <w:pStyle w:val="35"/>
        <w:tabs>
          <w:tab w:val="right" w:leader="dot" w:pos="8317"/>
        </w:tabs>
      </w:pPr>
      <w:r>
        <w:fldChar w:fldCharType="begin"/>
      </w:r>
      <w:r>
        <w:instrText xml:space="preserve"> HYPERLINK \l _Toc23647 </w:instrText>
      </w:r>
      <w:r>
        <w:fldChar w:fldCharType="separate"/>
      </w:r>
      <w:r>
        <w:rPr>
          <w:rFonts w:hint="eastAsia"/>
        </w:rPr>
        <w:t>五、评审</w:t>
      </w:r>
      <w:r>
        <w:tab/>
      </w:r>
      <w:r>
        <w:fldChar w:fldCharType="begin"/>
      </w:r>
      <w:r>
        <w:instrText xml:space="preserve"> PAGEREF _Toc23647 \h </w:instrText>
      </w:r>
      <w:r>
        <w:fldChar w:fldCharType="separate"/>
      </w:r>
      <w:r>
        <w:t>11</w:t>
      </w:r>
      <w:r>
        <w:fldChar w:fldCharType="end"/>
      </w:r>
      <w:r>
        <w:fldChar w:fldCharType="end"/>
      </w:r>
    </w:p>
    <w:p w14:paraId="3F292202">
      <w:pPr>
        <w:pStyle w:val="35"/>
        <w:tabs>
          <w:tab w:val="right" w:leader="dot" w:pos="8317"/>
        </w:tabs>
      </w:pPr>
      <w:r>
        <w:fldChar w:fldCharType="begin"/>
      </w:r>
      <w:r>
        <w:instrText xml:space="preserve"> HYPERLINK \l _Toc28382 </w:instrText>
      </w:r>
      <w:r>
        <w:fldChar w:fldCharType="separate"/>
      </w:r>
      <w:r>
        <w:rPr>
          <w:rFonts w:hint="eastAsia" w:ascii="黑体" w:hAnsi="宋体"/>
        </w:rPr>
        <w:t>六、成交事项</w:t>
      </w:r>
      <w:r>
        <w:tab/>
      </w:r>
      <w:r>
        <w:fldChar w:fldCharType="begin"/>
      </w:r>
      <w:r>
        <w:instrText xml:space="preserve"> PAGEREF _Toc28382 \h </w:instrText>
      </w:r>
      <w:r>
        <w:fldChar w:fldCharType="separate"/>
      </w:r>
      <w:r>
        <w:t>11</w:t>
      </w:r>
      <w:r>
        <w:fldChar w:fldCharType="end"/>
      </w:r>
      <w:r>
        <w:fldChar w:fldCharType="end"/>
      </w:r>
    </w:p>
    <w:p w14:paraId="7768D1C3">
      <w:pPr>
        <w:pStyle w:val="35"/>
        <w:tabs>
          <w:tab w:val="right" w:leader="dot" w:pos="8317"/>
        </w:tabs>
      </w:pPr>
      <w:r>
        <w:fldChar w:fldCharType="begin"/>
      </w:r>
      <w:r>
        <w:instrText xml:space="preserve"> HYPERLINK \l _Toc31858 </w:instrText>
      </w:r>
      <w:r>
        <w:fldChar w:fldCharType="separate"/>
      </w:r>
      <w:r>
        <w:rPr>
          <w:rFonts w:hint="eastAsia"/>
        </w:rPr>
        <w:t>七、合同事项</w:t>
      </w:r>
      <w:r>
        <w:tab/>
      </w:r>
      <w:r>
        <w:fldChar w:fldCharType="begin"/>
      </w:r>
      <w:r>
        <w:instrText xml:space="preserve"> PAGEREF _Toc31858 \h </w:instrText>
      </w:r>
      <w:r>
        <w:fldChar w:fldCharType="separate"/>
      </w:r>
      <w:r>
        <w:t>12</w:t>
      </w:r>
      <w:r>
        <w:fldChar w:fldCharType="end"/>
      </w:r>
      <w:r>
        <w:fldChar w:fldCharType="end"/>
      </w:r>
    </w:p>
    <w:p w14:paraId="06342606">
      <w:pPr>
        <w:pStyle w:val="35"/>
        <w:tabs>
          <w:tab w:val="right" w:leader="dot" w:pos="8317"/>
        </w:tabs>
      </w:pPr>
      <w:r>
        <w:fldChar w:fldCharType="begin"/>
      </w:r>
      <w:r>
        <w:instrText xml:space="preserve"> HYPERLINK \l _Toc22254 </w:instrText>
      </w:r>
      <w:r>
        <w:fldChar w:fldCharType="separate"/>
      </w:r>
      <w:r>
        <w:rPr>
          <w:rFonts w:hint="eastAsia"/>
        </w:rPr>
        <w:t>八、谈判纪律要求</w:t>
      </w:r>
      <w:r>
        <w:tab/>
      </w:r>
      <w:r>
        <w:fldChar w:fldCharType="begin"/>
      </w:r>
      <w:r>
        <w:instrText xml:space="preserve"> PAGEREF _Toc22254 \h </w:instrText>
      </w:r>
      <w:r>
        <w:fldChar w:fldCharType="separate"/>
      </w:r>
      <w:r>
        <w:t>13</w:t>
      </w:r>
      <w:r>
        <w:fldChar w:fldCharType="end"/>
      </w:r>
      <w:r>
        <w:fldChar w:fldCharType="end"/>
      </w:r>
    </w:p>
    <w:p w14:paraId="64CE3F92">
      <w:pPr>
        <w:pStyle w:val="35"/>
        <w:tabs>
          <w:tab w:val="right" w:leader="dot" w:pos="8317"/>
        </w:tabs>
      </w:pPr>
      <w:r>
        <w:fldChar w:fldCharType="begin"/>
      </w:r>
      <w:r>
        <w:instrText xml:space="preserve"> HYPERLINK \l _Toc1659 </w:instrText>
      </w:r>
      <w:r>
        <w:fldChar w:fldCharType="separate"/>
      </w:r>
      <w:r>
        <w:rPr>
          <w:rFonts w:hint="eastAsia"/>
        </w:rPr>
        <w:t>九、询问、质疑和投诉</w:t>
      </w:r>
      <w:r>
        <w:tab/>
      </w:r>
      <w:r>
        <w:fldChar w:fldCharType="begin"/>
      </w:r>
      <w:r>
        <w:instrText xml:space="preserve"> PAGEREF _Toc1659 \h </w:instrText>
      </w:r>
      <w:r>
        <w:fldChar w:fldCharType="separate"/>
      </w:r>
      <w:r>
        <w:t>14</w:t>
      </w:r>
      <w:r>
        <w:fldChar w:fldCharType="end"/>
      </w:r>
      <w:r>
        <w:fldChar w:fldCharType="end"/>
      </w:r>
    </w:p>
    <w:p w14:paraId="5AF99A1B">
      <w:pPr>
        <w:pStyle w:val="35"/>
        <w:tabs>
          <w:tab w:val="right" w:leader="dot" w:pos="8317"/>
        </w:tabs>
      </w:pPr>
      <w:r>
        <w:fldChar w:fldCharType="begin"/>
      </w:r>
      <w:r>
        <w:instrText xml:space="preserve"> HYPERLINK \l _Toc8386 </w:instrText>
      </w:r>
      <w:r>
        <w:fldChar w:fldCharType="separate"/>
      </w:r>
      <w:r>
        <w:rPr>
          <w:rFonts w:hint="eastAsia"/>
        </w:rPr>
        <w:t>十、其  他</w:t>
      </w:r>
      <w:r>
        <w:tab/>
      </w:r>
      <w:r>
        <w:fldChar w:fldCharType="begin"/>
      </w:r>
      <w:r>
        <w:instrText xml:space="preserve"> PAGEREF _Toc8386 \h </w:instrText>
      </w:r>
      <w:r>
        <w:fldChar w:fldCharType="separate"/>
      </w:r>
      <w:r>
        <w:t>14</w:t>
      </w:r>
      <w:r>
        <w:fldChar w:fldCharType="end"/>
      </w:r>
      <w:r>
        <w:fldChar w:fldCharType="end"/>
      </w:r>
    </w:p>
    <w:p w14:paraId="12651C07">
      <w:pPr>
        <w:pStyle w:val="30"/>
        <w:tabs>
          <w:tab w:val="right" w:leader="dot" w:pos="8317"/>
        </w:tabs>
      </w:pPr>
      <w:r>
        <w:fldChar w:fldCharType="begin"/>
      </w:r>
      <w:r>
        <w:instrText xml:space="preserve"> HYPERLINK \l _Toc25940 </w:instrText>
      </w:r>
      <w:r>
        <w:fldChar w:fldCharType="separate"/>
      </w:r>
      <w:r>
        <w:rPr>
          <w:rFonts w:hint="eastAsia"/>
        </w:rPr>
        <w:t>第三章  供应商资格条件要求</w:t>
      </w:r>
      <w:r>
        <w:tab/>
      </w:r>
      <w:r>
        <w:fldChar w:fldCharType="begin"/>
      </w:r>
      <w:r>
        <w:instrText xml:space="preserve"> PAGEREF _Toc25940 \h </w:instrText>
      </w:r>
      <w:r>
        <w:fldChar w:fldCharType="separate"/>
      </w:r>
      <w:r>
        <w:t>15</w:t>
      </w:r>
      <w:r>
        <w:fldChar w:fldCharType="end"/>
      </w:r>
      <w:r>
        <w:fldChar w:fldCharType="end"/>
      </w:r>
    </w:p>
    <w:p w14:paraId="5F878C85">
      <w:pPr>
        <w:pStyle w:val="30"/>
        <w:tabs>
          <w:tab w:val="right" w:leader="dot" w:pos="8317"/>
        </w:tabs>
      </w:pPr>
      <w:r>
        <w:fldChar w:fldCharType="begin"/>
      </w:r>
      <w:r>
        <w:instrText xml:space="preserve"> HYPERLINK \l _Toc29404 </w:instrText>
      </w:r>
      <w:r>
        <w:fldChar w:fldCharType="separate"/>
      </w:r>
      <w:r>
        <w:rPr>
          <w:rFonts w:hint="eastAsia"/>
        </w:rPr>
        <w:t>第四章  供应商资格证明材料</w:t>
      </w:r>
      <w:r>
        <w:tab/>
      </w:r>
      <w:r>
        <w:fldChar w:fldCharType="begin"/>
      </w:r>
      <w:r>
        <w:instrText xml:space="preserve"> PAGEREF _Toc29404 \h </w:instrText>
      </w:r>
      <w:r>
        <w:fldChar w:fldCharType="separate"/>
      </w:r>
      <w:r>
        <w:t>16</w:t>
      </w:r>
      <w:r>
        <w:fldChar w:fldCharType="end"/>
      </w:r>
      <w:r>
        <w:fldChar w:fldCharType="end"/>
      </w:r>
    </w:p>
    <w:p w14:paraId="2883985E">
      <w:pPr>
        <w:pStyle w:val="30"/>
        <w:tabs>
          <w:tab w:val="right" w:leader="dot" w:pos="8317"/>
        </w:tabs>
      </w:pPr>
      <w:r>
        <w:fldChar w:fldCharType="begin"/>
      </w:r>
      <w:r>
        <w:instrText xml:space="preserve"> HYPERLINK \l _Toc14399 </w:instrText>
      </w:r>
      <w:r>
        <w:fldChar w:fldCharType="separate"/>
      </w:r>
      <w:r>
        <w:rPr>
          <w:rFonts w:hint="eastAsia"/>
        </w:rPr>
        <w:t>第五章  采购项目技术、服务、采购合同内容条款及其他商务要求</w:t>
      </w:r>
      <w:r>
        <w:tab/>
      </w:r>
      <w:r>
        <w:fldChar w:fldCharType="begin"/>
      </w:r>
      <w:r>
        <w:instrText xml:space="preserve"> PAGEREF _Toc14399 \h </w:instrText>
      </w:r>
      <w:r>
        <w:fldChar w:fldCharType="separate"/>
      </w:r>
      <w:r>
        <w:t>18</w:t>
      </w:r>
      <w:r>
        <w:fldChar w:fldCharType="end"/>
      </w:r>
      <w:r>
        <w:fldChar w:fldCharType="end"/>
      </w:r>
    </w:p>
    <w:p w14:paraId="373A0810">
      <w:pPr>
        <w:pStyle w:val="30"/>
        <w:tabs>
          <w:tab w:val="right" w:leader="dot" w:pos="8317"/>
        </w:tabs>
      </w:pPr>
      <w:r>
        <w:fldChar w:fldCharType="begin"/>
      </w:r>
      <w:r>
        <w:instrText xml:space="preserve"> HYPERLINK \l _Toc24338 </w:instrText>
      </w:r>
      <w:r>
        <w:fldChar w:fldCharType="separate"/>
      </w:r>
      <w:r>
        <w:rPr>
          <w:rFonts w:hint="eastAsia"/>
        </w:rPr>
        <w:t>第六章  响应文件格式</w:t>
      </w:r>
      <w:r>
        <w:tab/>
      </w:r>
      <w:r>
        <w:fldChar w:fldCharType="begin"/>
      </w:r>
      <w:r>
        <w:instrText xml:space="preserve"> PAGEREF _Toc24338 \h </w:instrText>
      </w:r>
      <w:r>
        <w:fldChar w:fldCharType="separate"/>
      </w:r>
      <w:r>
        <w:t>21</w:t>
      </w:r>
      <w:r>
        <w:fldChar w:fldCharType="end"/>
      </w:r>
      <w:r>
        <w:fldChar w:fldCharType="end"/>
      </w:r>
    </w:p>
    <w:p w14:paraId="6720A0A9">
      <w:pPr>
        <w:pStyle w:val="35"/>
        <w:tabs>
          <w:tab w:val="right" w:leader="dot" w:pos="8317"/>
        </w:tabs>
      </w:pPr>
      <w:r>
        <w:fldChar w:fldCharType="begin"/>
      </w:r>
      <w:r>
        <w:instrText xml:space="preserve"> HYPERLINK \l _Toc722 </w:instrText>
      </w:r>
      <w:r>
        <w:fldChar w:fldCharType="separate"/>
      </w:r>
      <w:r>
        <w:rPr>
          <w:rFonts w:ascii="宋体" w:hAnsi="宋体"/>
          <w:bCs/>
          <w:szCs w:val="52"/>
        </w:rPr>
        <w:t>第一部分  资格性响应文件</w:t>
      </w:r>
      <w:r>
        <w:tab/>
      </w:r>
      <w:r>
        <w:fldChar w:fldCharType="begin"/>
      </w:r>
      <w:r>
        <w:instrText xml:space="preserve"> PAGEREF _Toc722 \h </w:instrText>
      </w:r>
      <w:r>
        <w:fldChar w:fldCharType="separate"/>
      </w:r>
      <w:r>
        <w:t>22</w:t>
      </w:r>
      <w:r>
        <w:fldChar w:fldCharType="end"/>
      </w:r>
      <w:r>
        <w:fldChar w:fldCharType="end"/>
      </w:r>
    </w:p>
    <w:p w14:paraId="6E48EBA3">
      <w:pPr>
        <w:pStyle w:val="35"/>
        <w:tabs>
          <w:tab w:val="right" w:leader="dot" w:pos="8317"/>
        </w:tabs>
      </w:pPr>
      <w:r>
        <w:fldChar w:fldCharType="begin"/>
      </w:r>
      <w:r>
        <w:instrText xml:space="preserve"> HYPERLINK \l _Toc5980 </w:instrText>
      </w:r>
      <w:r>
        <w:fldChar w:fldCharType="separate"/>
      </w:r>
      <w:r>
        <w:rPr>
          <w:rFonts w:hint="eastAsia" w:ascii="宋体" w:hAnsi="宋体"/>
          <w:bCs/>
          <w:kern w:val="0"/>
          <w:szCs w:val="36"/>
        </w:rPr>
        <w:t>一、</w:t>
      </w:r>
      <w:r>
        <w:rPr>
          <w:rFonts w:hint="eastAsia" w:ascii="宋体" w:hAnsi="宋体"/>
          <w:kern w:val="0"/>
          <w:szCs w:val="36"/>
        </w:rPr>
        <w:t>法定代表人/单位负责人身份证明书</w:t>
      </w:r>
      <w:r>
        <w:tab/>
      </w:r>
      <w:r>
        <w:fldChar w:fldCharType="begin"/>
      </w:r>
      <w:r>
        <w:instrText xml:space="preserve"> PAGEREF _Toc5980 \h </w:instrText>
      </w:r>
      <w:r>
        <w:fldChar w:fldCharType="separate"/>
      </w:r>
      <w:r>
        <w:t>23</w:t>
      </w:r>
      <w:r>
        <w:fldChar w:fldCharType="end"/>
      </w:r>
      <w:r>
        <w:fldChar w:fldCharType="end"/>
      </w:r>
    </w:p>
    <w:p w14:paraId="41A1FE6B">
      <w:pPr>
        <w:pStyle w:val="35"/>
        <w:tabs>
          <w:tab w:val="right" w:leader="dot" w:pos="8317"/>
        </w:tabs>
      </w:pPr>
      <w:r>
        <w:fldChar w:fldCharType="begin"/>
      </w:r>
      <w:r>
        <w:instrText xml:space="preserve"> HYPERLINK \l _Toc16654 </w:instrText>
      </w:r>
      <w:r>
        <w:fldChar w:fldCharType="separate"/>
      </w:r>
      <w:r>
        <w:rPr>
          <w:rFonts w:hint="eastAsia" w:ascii="宋体" w:hAnsi="宋体"/>
          <w:kern w:val="0"/>
          <w:szCs w:val="32"/>
        </w:rPr>
        <w:t>二、法定代表人/单位负责人授权书</w:t>
      </w:r>
      <w:r>
        <w:tab/>
      </w:r>
      <w:r>
        <w:fldChar w:fldCharType="begin"/>
      </w:r>
      <w:r>
        <w:instrText xml:space="preserve"> PAGEREF _Toc16654 \h </w:instrText>
      </w:r>
      <w:r>
        <w:fldChar w:fldCharType="separate"/>
      </w:r>
      <w:r>
        <w:t>24</w:t>
      </w:r>
      <w:r>
        <w:fldChar w:fldCharType="end"/>
      </w:r>
      <w:r>
        <w:fldChar w:fldCharType="end"/>
      </w:r>
    </w:p>
    <w:p w14:paraId="504D73E3">
      <w:pPr>
        <w:pStyle w:val="35"/>
        <w:tabs>
          <w:tab w:val="right" w:leader="dot" w:pos="8317"/>
        </w:tabs>
      </w:pPr>
      <w:r>
        <w:fldChar w:fldCharType="begin"/>
      </w:r>
      <w:r>
        <w:instrText xml:space="preserve"> HYPERLINK \l _Toc6642 </w:instrText>
      </w:r>
      <w:r>
        <w:fldChar w:fldCharType="separate"/>
      </w:r>
      <w:r>
        <w:rPr>
          <w:rFonts w:hint="eastAsia" w:ascii="宋体" w:hAnsi="宋体"/>
          <w:kern w:val="0"/>
          <w:szCs w:val="32"/>
        </w:rPr>
        <w:t>三、承诺函</w:t>
      </w:r>
      <w:r>
        <w:tab/>
      </w:r>
      <w:r>
        <w:fldChar w:fldCharType="begin"/>
      </w:r>
      <w:r>
        <w:instrText xml:space="preserve"> PAGEREF _Toc6642 \h </w:instrText>
      </w:r>
      <w:r>
        <w:fldChar w:fldCharType="separate"/>
      </w:r>
      <w:r>
        <w:t>25</w:t>
      </w:r>
      <w:r>
        <w:fldChar w:fldCharType="end"/>
      </w:r>
      <w:r>
        <w:fldChar w:fldCharType="end"/>
      </w:r>
    </w:p>
    <w:p w14:paraId="2645304D">
      <w:pPr>
        <w:pStyle w:val="35"/>
        <w:tabs>
          <w:tab w:val="right" w:leader="dot" w:pos="8317"/>
        </w:tabs>
      </w:pPr>
      <w:r>
        <w:fldChar w:fldCharType="begin"/>
      </w:r>
      <w:r>
        <w:instrText xml:space="preserve"> HYPERLINK \l _Toc10634 </w:instrText>
      </w:r>
      <w:r>
        <w:fldChar w:fldCharType="separate"/>
      </w:r>
      <w:r>
        <w:rPr>
          <w:rFonts w:hint="eastAsia" w:ascii="宋体" w:hAnsi="宋体" w:cs="宋体"/>
          <w:bCs/>
          <w:kern w:val="0"/>
          <w:szCs w:val="32"/>
        </w:rPr>
        <w:t>格式1-</w:t>
      </w:r>
      <w:r>
        <w:rPr>
          <w:rFonts w:hint="eastAsia" w:ascii="宋体" w:hAnsi="宋体" w:cs="宋体"/>
          <w:bCs/>
          <w:kern w:val="0"/>
          <w:szCs w:val="32"/>
          <w:lang w:val="en-US" w:eastAsia="zh-CN"/>
        </w:rPr>
        <w:t>4</w:t>
      </w:r>
      <w:r>
        <w:tab/>
      </w:r>
      <w:r>
        <w:fldChar w:fldCharType="begin"/>
      </w:r>
      <w:r>
        <w:instrText xml:space="preserve"> PAGEREF _Toc10634 \h </w:instrText>
      </w:r>
      <w:r>
        <w:fldChar w:fldCharType="separate"/>
      </w:r>
      <w:r>
        <w:t>26</w:t>
      </w:r>
      <w:r>
        <w:fldChar w:fldCharType="end"/>
      </w:r>
      <w:r>
        <w:fldChar w:fldCharType="end"/>
      </w:r>
    </w:p>
    <w:p w14:paraId="09D03B48">
      <w:pPr>
        <w:pStyle w:val="35"/>
        <w:tabs>
          <w:tab w:val="right" w:leader="dot" w:pos="8317"/>
        </w:tabs>
      </w:pPr>
      <w:r>
        <w:fldChar w:fldCharType="begin"/>
      </w:r>
      <w:r>
        <w:instrText xml:space="preserve"> HYPERLINK \l _Toc5991 </w:instrText>
      </w:r>
      <w:r>
        <w:fldChar w:fldCharType="separate"/>
      </w:r>
      <w:r>
        <w:rPr>
          <w:rFonts w:hint="eastAsia" w:ascii="宋体" w:hAnsi="宋体"/>
          <w:kern w:val="0"/>
          <w:szCs w:val="32"/>
          <w:lang w:eastAsia="zh-CN"/>
        </w:rPr>
        <w:t>四</w:t>
      </w:r>
      <w:r>
        <w:rPr>
          <w:rFonts w:hint="eastAsia" w:ascii="宋体" w:hAnsi="宋体"/>
          <w:kern w:val="0"/>
          <w:szCs w:val="32"/>
        </w:rPr>
        <w:t>、</w:t>
      </w:r>
      <w:r>
        <w:rPr>
          <w:rFonts w:hint="eastAsia" w:ascii="宋体" w:hAnsi="宋体"/>
          <w:kern w:val="0"/>
          <w:szCs w:val="32"/>
          <w:lang w:val="en-US" w:eastAsia="zh-CN"/>
        </w:rPr>
        <w:t>供应</w:t>
      </w:r>
      <w:r>
        <w:rPr>
          <w:rFonts w:hint="eastAsia" w:ascii="宋体" w:hAnsi="宋体"/>
          <w:kern w:val="0"/>
          <w:szCs w:val="32"/>
        </w:rPr>
        <w:t>商其他资格相关证明材料</w:t>
      </w:r>
      <w:r>
        <w:tab/>
      </w:r>
      <w:r>
        <w:fldChar w:fldCharType="begin"/>
      </w:r>
      <w:r>
        <w:instrText xml:space="preserve"> PAGEREF _Toc5991 \h </w:instrText>
      </w:r>
      <w:r>
        <w:fldChar w:fldCharType="separate"/>
      </w:r>
      <w:r>
        <w:t>26</w:t>
      </w:r>
      <w:r>
        <w:fldChar w:fldCharType="end"/>
      </w:r>
      <w:r>
        <w:fldChar w:fldCharType="end"/>
      </w:r>
    </w:p>
    <w:p w14:paraId="28138B15">
      <w:pPr>
        <w:pStyle w:val="35"/>
        <w:tabs>
          <w:tab w:val="right" w:leader="dot" w:pos="8317"/>
        </w:tabs>
      </w:pPr>
      <w:r>
        <w:fldChar w:fldCharType="begin"/>
      </w:r>
      <w:r>
        <w:instrText xml:space="preserve"> HYPERLINK \l _Toc30101 </w:instrText>
      </w:r>
      <w:r>
        <w:fldChar w:fldCharType="separate"/>
      </w:r>
      <w:r>
        <w:rPr>
          <w:rFonts w:ascii="宋体" w:hAnsi="宋体"/>
          <w:bCs/>
          <w:szCs w:val="52"/>
        </w:rPr>
        <w:t>第</w:t>
      </w:r>
      <w:r>
        <w:rPr>
          <w:rFonts w:hint="eastAsia" w:ascii="宋体" w:hAnsi="宋体"/>
          <w:bCs/>
          <w:szCs w:val="52"/>
        </w:rPr>
        <w:t>二</w:t>
      </w:r>
      <w:r>
        <w:rPr>
          <w:rFonts w:ascii="宋体" w:hAnsi="宋体"/>
          <w:bCs/>
          <w:szCs w:val="52"/>
        </w:rPr>
        <w:t>部分  技术、服务</w:t>
      </w:r>
      <w:r>
        <w:rPr>
          <w:rFonts w:hint="eastAsia" w:ascii="宋体" w:hAnsi="宋体"/>
          <w:bCs/>
          <w:szCs w:val="52"/>
        </w:rPr>
        <w:t>性</w:t>
      </w:r>
      <w:r>
        <w:rPr>
          <w:rFonts w:ascii="宋体" w:hAnsi="宋体"/>
          <w:bCs/>
          <w:szCs w:val="52"/>
        </w:rPr>
        <w:t>响应文件</w:t>
      </w:r>
      <w:r>
        <w:tab/>
      </w:r>
      <w:r>
        <w:fldChar w:fldCharType="begin"/>
      </w:r>
      <w:r>
        <w:instrText xml:space="preserve"> PAGEREF _Toc30101 \h </w:instrText>
      </w:r>
      <w:r>
        <w:fldChar w:fldCharType="separate"/>
      </w:r>
      <w:r>
        <w:t>27</w:t>
      </w:r>
      <w:r>
        <w:fldChar w:fldCharType="end"/>
      </w:r>
      <w:r>
        <w:fldChar w:fldCharType="end"/>
      </w:r>
    </w:p>
    <w:p w14:paraId="6377506E">
      <w:pPr>
        <w:pStyle w:val="35"/>
        <w:tabs>
          <w:tab w:val="right" w:leader="dot" w:pos="8317"/>
        </w:tabs>
      </w:pPr>
      <w:r>
        <w:fldChar w:fldCharType="begin"/>
      </w:r>
      <w:r>
        <w:instrText xml:space="preserve"> HYPERLINK \l _Toc10923 </w:instrText>
      </w:r>
      <w:r>
        <w:fldChar w:fldCharType="separate"/>
      </w:r>
      <w:r>
        <w:rPr>
          <w:rFonts w:ascii="宋体" w:hAnsi="宋体"/>
          <w:kern w:val="0"/>
          <w:szCs w:val="32"/>
          <w:lang w:eastAsia="en-US"/>
        </w:rPr>
        <w:t xml:space="preserve">一、 </w:t>
      </w:r>
      <w:r>
        <w:rPr>
          <w:rFonts w:hint="eastAsia" w:ascii="宋体" w:hAnsi="宋体"/>
          <w:kern w:val="0"/>
          <w:szCs w:val="32"/>
        </w:rPr>
        <w:t>响应</w:t>
      </w:r>
      <w:r>
        <w:rPr>
          <w:rFonts w:hint="eastAsia" w:ascii="宋体" w:hAnsi="宋体"/>
          <w:kern w:val="0"/>
          <w:szCs w:val="32"/>
          <w:lang w:eastAsia="en-US"/>
        </w:rPr>
        <w:t>函</w:t>
      </w:r>
      <w:r>
        <w:tab/>
      </w:r>
      <w:r>
        <w:fldChar w:fldCharType="begin"/>
      </w:r>
      <w:r>
        <w:instrText xml:space="preserve"> PAGEREF _Toc10923 \h </w:instrText>
      </w:r>
      <w:r>
        <w:fldChar w:fldCharType="separate"/>
      </w:r>
      <w:r>
        <w:t>28</w:t>
      </w:r>
      <w:r>
        <w:fldChar w:fldCharType="end"/>
      </w:r>
      <w:r>
        <w:fldChar w:fldCharType="end"/>
      </w:r>
    </w:p>
    <w:p w14:paraId="6C154513">
      <w:pPr>
        <w:pStyle w:val="35"/>
        <w:tabs>
          <w:tab w:val="right" w:leader="dot" w:pos="8317"/>
        </w:tabs>
      </w:pPr>
      <w:r>
        <w:fldChar w:fldCharType="begin"/>
      </w:r>
      <w:r>
        <w:instrText xml:space="preserve"> HYPERLINK \l _Toc1975 </w:instrText>
      </w:r>
      <w:r>
        <w:fldChar w:fldCharType="separate"/>
      </w:r>
      <w:r>
        <w:rPr>
          <w:rFonts w:ascii="宋体" w:hAnsi="宋体"/>
          <w:kern w:val="0"/>
          <w:szCs w:val="32"/>
          <w:lang w:eastAsia="en-US"/>
        </w:rPr>
        <w:t xml:space="preserve">二、 </w:t>
      </w:r>
      <w:r>
        <w:rPr>
          <w:rFonts w:hint="eastAsia" w:ascii="宋体" w:hAnsi="宋体"/>
          <w:kern w:val="0"/>
          <w:szCs w:val="32"/>
          <w:lang w:eastAsia="en-US"/>
        </w:rPr>
        <w:t>承诺函</w:t>
      </w:r>
      <w:r>
        <w:tab/>
      </w:r>
      <w:r>
        <w:fldChar w:fldCharType="begin"/>
      </w:r>
      <w:r>
        <w:instrText xml:space="preserve"> PAGEREF _Toc1975 \h </w:instrText>
      </w:r>
      <w:r>
        <w:fldChar w:fldCharType="separate"/>
      </w:r>
      <w:r>
        <w:t>29</w:t>
      </w:r>
      <w:r>
        <w:fldChar w:fldCharType="end"/>
      </w:r>
      <w:r>
        <w:fldChar w:fldCharType="end"/>
      </w:r>
    </w:p>
    <w:p w14:paraId="0F2B9D5B">
      <w:pPr>
        <w:pStyle w:val="35"/>
        <w:tabs>
          <w:tab w:val="right" w:leader="dot" w:pos="8317"/>
        </w:tabs>
      </w:pPr>
      <w:r>
        <w:fldChar w:fldCharType="begin"/>
      </w:r>
      <w:r>
        <w:instrText xml:space="preserve"> HYPERLINK \l _Toc31260 </w:instrText>
      </w:r>
      <w:r>
        <w:fldChar w:fldCharType="separate"/>
      </w:r>
      <w:r>
        <w:rPr>
          <w:rFonts w:hint="eastAsia" w:ascii="宋体" w:hAnsi="宋体"/>
          <w:kern w:val="0"/>
          <w:szCs w:val="32"/>
          <w:lang w:eastAsia="zh-CN"/>
        </w:rPr>
        <w:t>三、</w:t>
      </w:r>
      <w:r>
        <w:rPr>
          <w:rFonts w:hint="eastAsia" w:ascii="宋体" w:hAnsi="宋体"/>
          <w:kern w:val="0"/>
          <w:szCs w:val="32"/>
        </w:rPr>
        <w:t>技术参数表</w:t>
      </w:r>
      <w:r>
        <w:tab/>
      </w:r>
      <w:r>
        <w:fldChar w:fldCharType="begin"/>
      </w:r>
      <w:r>
        <w:instrText xml:space="preserve"> PAGEREF _Toc31260 \h </w:instrText>
      </w:r>
      <w:r>
        <w:fldChar w:fldCharType="separate"/>
      </w:r>
      <w:r>
        <w:t>30</w:t>
      </w:r>
      <w:r>
        <w:fldChar w:fldCharType="end"/>
      </w:r>
      <w:r>
        <w:fldChar w:fldCharType="end"/>
      </w:r>
    </w:p>
    <w:p w14:paraId="709B130D">
      <w:pPr>
        <w:pStyle w:val="35"/>
        <w:tabs>
          <w:tab w:val="right" w:leader="dot" w:pos="8317"/>
        </w:tabs>
      </w:pPr>
      <w:r>
        <w:fldChar w:fldCharType="begin"/>
      </w:r>
      <w:r>
        <w:instrText xml:space="preserve"> HYPERLINK \l _Toc19200 </w:instrText>
      </w:r>
      <w:r>
        <w:fldChar w:fldCharType="separate"/>
      </w:r>
      <w:r>
        <w:rPr>
          <w:rFonts w:hint="eastAsia" w:ascii="宋体" w:hAnsi="宋体"/>
          <w:kern w:val="0"/>
          <w:szCs w:val="32"/>
          <w:lang w:eastAsia="zh-CN"/>
        </w:rPr>
        <w:t>四、</w:t>
      </w:r>
      <w:r>
        <w:rPr>
          <w:rFonts w:hint="eastAsia" w:ascii="宋体" w:hAnsi="宋体"/>
          <w:kern w:val="0"/>
          <w:szCs w:val="32"/>
        </w:rPr>
        <w:t>服务、商务应答表</w:t>
      </w:r>
      <w:r>
        <w:tab/>
      </w:r>
      <w:r>
        <w:fldChar w:fldCharType="begin"/>
      </w:r>
      <w:r>
        <w:instrText xml:space="preserve"> PAGEREF _Toc19200 \h </w:instrText>
      </w:r>
      <w:r>
        <w:fldChar w:fldCharType="separate"/>
      </w:r>
      <w:r>
        <w:t>31</w:t>
      </w:r>
      <w:r>
        <w:fldChar w:fldCharType="end"/>
      </w:r>
      <w:r>
        <w:fldChar w:fldCharType="end"/>
      </w:r>
    </w:p>
    <w:p w14:paraId="12957569">
      <w:pPr>
        <w:pStyle w:val="35"/>
        <w:tabs>
          <w:tab w:val="right" w:leader="dot" w:pos="8317"/>
        </w:tabs>
      </w:pPr>
      <w:r>
        <w:fldChar w:fldCharType="begin"/>
      </w:r>
      <w:r>
        <w:instrText xml:space="preserve"> HYPERLINK \l _Toc21000 </w:instrText>
      </w:r>
      <w:r>
        <w:fldChar w:fldCharType="separate"/>
      </w:r>
      <w:r>
        <w:rPr>
          <w:rFonts w:hint="eastAsia" w:ascii="宋体" w:hAnsi="宋体"/>
          <w:szCs w:val="32"/>
          <w:lang w:eastAsia="zh-CN"/>
        </w:rPr>
        <w:t>五</w:t>
      </w:r>
      <w:r>
        <w:rPr>
          <w:rFonts w:hint="eastAsia" w:ascii="宋体" w:hAnsi="宋体"/>
          <w:szCs w:val="32"/>
        </w:rPr>
        <w:t>、知识产权声明函</w:t>
      </w:r>
      <w:r>
        <w:tab/>
      </w:r>
      <w:r>
        <w:fldChar w:fldCharType="begin"/>
      </w:r>
      <w:r>
        <w:instrText xml:space="preserve"> PAGEREF _Toc21000 \h </w:instrText>
      </w:r>
      <w:r>
        <w:fldChar w:fldCharType="separate"/>
      </w:r>
      <w:r>
        <w:t>32</w:t>
      </w:r>
      <w:r>
        <w:fldChar w:fldCharType="end"/>
      </w:r>
      <w:r>
        <w:fldChar w:fldCharType="end"/>
      </w:r>
    </w:p>
    <w:p w14:paraId="1863BAB6">
      <w:pPr>
        <w:pStyle w:val="35"/>
        <w:tabs>
          <w:tab w:val="right" w:leader="dot" w:pos="8317"/>
        </w:tabs>
      </w:pPr>
      <w:r>
        <w:fldChar w:fldCharType="begin"/>
      </w:r>
      <w:r>
        <w:instrText xml:space="preserve"> HYPERLINK \l _Toc14851 </w:instrText>
      </w:r>
      <w:r>
        <w:fldChar w:fldCharType="separate"/>
      </w:r>
      <w:r>
        <w:rPr>
          <w:rFonts w:hint="eastAsia" w:ascii="宋体" w:hAnsi="宋体"/>
          <w:kern w:val="0"/>
          <w:szCs w:val="32"/>
          <w:lang w:eastAsia="zh-CN"/>
        </w:rPr>
        <w:t>六</w:t>
      </w:r>
      <w:r>
        <w:rPr>
          <w:rFonts w:hint="eastAsia" w:ascii="宋体" w:hAnsi="宋体"/>
          <w:kern w:val="0"/>
          <w:szCs w:val="32"/>
        </w:rPr>
        <w:t>、其他有关材料（格式自拟）</w:t>
      </w:r>
      <w:r>
        <w:tab/>
      </w:r>
      <w:r>
        <w:fldChar w:fldCharType="begin"/>
      </w:r>
      <w:r>
        <w:instrText xml:space="preserve"> PAGEREF _Toc14851 \h </w:instrText>
      </w:r>
      <w:r>
        <w:fldChar w:fldCharType="separate"/>
      </w:r>
      <w:r>
        <w:t>33</w:t>
      </w:r>
      <w:r>
        <w:fldChar w:fldCharType="end"/>
      </w:r>
      <w:r>
        <w:fldChar w:fldCharType="end"/>
      </w:r>
    </w:p>
    <w:p w14:paraId="6546C3AB">
      <w:pPr>
        <w:pStyle w:val="35"/>
        <w:tabs>
          <w:tab w:val="right" w:leader="dot" w:pos="8317"/>
        </w:tabs>
      </w:pPr>
      <w:r>
        <w:fldChar w:fldCharType="begin"/>
      </w:r>
      <w:r>
        <w:instrText xml:space="preserve"> HYPERLINK \l _Toc3149 </w:instrText>
      </w:r>
      <w:r>
        <w:fldChar w:fldCharType="separate"/>
      </w:r>
      <w:r>
        <w:rPr>
          <w:rFonts w:ascii="宋体" w:hAnsi="宋体" w:cs="宋体"/>
          <w:szCs w:val="32"/>
        </w:rPr>
        <w:t>第</w:t>
      </w:r>
      <w:r>
        <w:rPr>
          <w:rFonts w:hint="eastAsia" w:ascii="宋体" w:hAnsi="宋体" w:cs="宋体"/>
          <w:szCs w:val="32"/>
        </w:rPr>
        <w:t>三</w:t>
      </w:r>
      <w:r>
        <w:rPr>
          <w:rFonts w:ascii="宋体" w:hAnsi="宋体" w:cs="宋体"/>
          <w:szCs w:val="32"/>
        </w:rPr>
        <w:t xml:space="preserve">部分  </w:t>
      </w:r>
      <w:r>
        <w:rPr>
          <w:rFonts w:hint="eastAsia" w:ascii="宋体" w:hAnsi="宋体" w:cs="宋体"/>
          <w:szCs w:val="32"/>
        </w:rPr>
        <w:t>报价函</w:t>
      </w:r>
      <w:r>
        <w:tab/>
      </w:r>
      <w:r>
        <w:fldChar w:fldCharType="begin"/>
      </w:r>
      <w:r>
        <w:instrText xml:space="preserve"> PAGEREF _Toc3149 \h </w:instrText>
      </w:r>
      <w:r>
        <w:fldChar w:fldCharType="separate"/>
      </w:r>
      <w:r>
        <w:t>34</w:t>
      </w:r>
      <w:r>
        <w:fldChar w:fldCharType="end"/>
      </w:r>
      <w:r>
        <w:fldChar w:fldCharType="end"/>
      </w:r>
    </w:p>
    <w:p w14:paraId="2D68146D">
      <w:pPr>
        <w:pStyle w:val="30"/>
        <w:tabs>
          <w:tab w:val="right" w:leader="dot" w:pos="8317"/>
        </w:tabs>
      </w:pPr>
      <w:r>
        <w:fldChar w:fldCharType="begin"/>
      </w:r>
      <w:r>
        <w:instrText xml:space="preserve"> HYPERLINK \l _Toc12910 </w:instrText>
      </w:r>
      <w:r>
        <w:fldChar w:fldCharType="separate"/>
      </w:r>
      <w:r>
        <w:rPr>
          <w:rFonts w:hint="eastAsia"/>
        </w:rPr>
        <w:t>第七章  评审方法</w:t>
      </w:r>
      <w:r>
        <w:tab/>
      </w:r>
      <w:r>
        <w:fldChar w:fldCharType="begin"/>
      </w:r>
      <w:r>
        <w:instrText xml:space="preserve"> PAGEREF _Toc12910 \h </w:instrText>
      </w:r>
      <w:r>
        <w:fldChar w:fldCharType="separate"/>
      </w:r>
      <w:r>
        <w:t>35</w:t>
      </w:r>
      <w:r>
        <w:fldChar w:fldCharType="end"/>
      </w:r>
      <w:r>
        <w:fldChar w:fldCharType="end"/>
      </w:r>
    </w:p>
    <w:p w14:paraId="6228E9FA">
      <w:pPr>
        <w:pStyle w:val="30"/>
        <w:tabs>
          <w:tab w:val="right" w:leader="dot" w:pos="8317"/>
        </w:tabs>
      </w:pPr>
      <w:r>
        <w:fldChar w:fldCharType="begin"/>
      </w:r>
      <w:r>
        <w:instrText xml:space="preserve"> HYPERLINK \l _Toc30208 </w:instrText>
      </w:r>
      <w:r>
        <w:fldChar w:fldCharType="separate"/>
      </w:r>
      <w:r>
        <w:rPr>
          <w:rFonts w:hint="eastAsia" w:ascii="宋体" w:hAnsi="宋体" w:eastAsia="宋体" w:cs="宋体"/>
          <w:szCs w:val="32"/>
        </w:rPr>
        <w:t xml:space="preserve">第八章 </w:t>
      </w:r>
      <w:r>
        <w:rPr>
          <w:rFonts w:hint="eastAsia" w:ascii="宋体" w:hAnsi="宋体" w:eastAsia="宋体" w:cs="宋体"/>
          <w:szCs w:val="32"/>
          <w:highlight w:val="none"/>
        </w:rPr>
        <w:t>采购合同</w:t>
      </w:r>
      <w:r>
        <w:tab/>
      </w:r>
      <w:r>
        <w:fldChar w:fldCharType="begin"/>
      </w:r>
      <w:r>
        <w:instrText xml:space="preserve"> PAGEREF _Toc30208 \h </w:instrText>
      </w:r>
      <w:r>
        <w:fldChar w:fldCharType="separate"/>
      </w:r>
      <w:r>
        <w:t>41</w:t>
      </w:r>
      <w:r>
        <w:fldChar w:fldCharType="end"/>
      </w:r>
      <w:r>
        <w:fldChar w:fldCharType="end"/>
      </w:r>
    </w:p>
    <w:p w14:paraId="42BFB7C6">
      <w:pPr>
        <w:pStyle w:val="35"/>
        <w:tabs>
          <w:tab w:val="right" w:leader="dot" w:pos="8317"/>
        </w:tabs>
      </w:pPr>
    </w:p>
    <w:p w14:paraId="27E7CC2E">
      <w:pPr>
        <w:spacing w:line="360" w:lineRule="auto"/>
        <w:sectPr>
          <w:headerReference r:id="rId9" w:type="first"/>
          <w:footerReference r:id="rId11" w:type="first"/>
          <w:footerReference r:id="rId10" w:type="default"/>
          <w:pgSz w:w="11911" w:h="16838"/>
          <w:pgMar w:top="1440" w:right="1797" w:bottom="1440" w:left="1797" w:header="850" w:footer="737" w:gutter="0"/>
          <w:pgNumType w:start="1"/>
          <w:cols w:space="720" w:num="1"/>
          <w:titlePg/>
          <w:docGrid w:linePitch="299" w:charSpace="0"/>
        </w:sectPr>
      </w:pPr>
      <w:r>
        <w:fldChar w:fldCharType="end"/>
      </w:r>
    </w:p>
    <w:p w14:paraId="49A64C52">
      <w:pPr>
        <w:pStyle w:val="40"/>
        <w:spacing w:before="0" w:after="0" w:line="360" w:lineRule="auto"/>
      </w:pPr>
      <w:bookmarkStart w:id="2" w:name="_Toc504991335"/>
      <w:bookmarkStart w:id="3" w:name="_Toc10467"/>
      <w:r>
        <w:rPr>
          <w:rFonts w:hint="eastAsia"/>
        </w:rPr>
        <w:t>第一章  谈判邀请</w:t>
      </w:r>
      <w:bookmarkEnd w:id="0"/>
      <w:bookmarkEnd w:id="1"/>
      <w:bookmarkEnd w:id="2"/>
      <w:bookmarkEnd w:id="3"/>
    </w:p>
    <w:p w14:paraId="79132471">
      <w:pPr>
        <w:spacing w:line="360" w:lineRule="auto"/>
        <w:ind w:firstLine="360" w:firstLineChars="150"/>
        <w:jc w:val="left"/>
        <w:rPr>
          <w:rFonts w:ascii="宋体" w:hAnsi="宋体"/>
          <w:sz w:val="24"/>
        </w:rPr>
      </w:pPr>
      <w:r>
        <w:rPr>
          <w:rFonts w:hint="eastAsia" w:ascii="宋体" w:hAnsi="宋体"/>
          <w:sz w:val="24"/>
          <w:u w:val="single"/>
          <w:lang w:val="en-US" w:eastAsia="zh-CN"/>
        </w:rPr>
        <w:t>四川省成都市第二中学</w:t>
      </w:r>
      <w:r>
        <w:rPr>
          <w:rFonts w:hint="eastAsia" w:ascii="宋体" w:hAnsi="宋体"/>
          <w:sz w:val="24"/>
        </w:rPr>
        <w:t>拟对</w:t>
      </w:r>
      <w:r>
        <w:rPr>
          <w:rFonts w:hint="eastAsia" w:ascii="宋体" w:hAnsi="宋体"/>
          <w:b/>
          <w:sz w:val="24"/>
          <w:u w:val="single"/>
          <w:lang w:val="en-US" w:eastAsia="zh-CN"/>
        </w:rPr>
        <w:t>新校区图书采购项目</w:t>
      </w:r>
      <w:r>
        <w:rPr>
          <w:rFonts w:hint="eastAsia" w:ascii="宋体" w:hAnsi="宋体"/>
          <w:sz w:val="24"/>
        </w:rPr>
        <w:t>采用竞争性谈判方式进行采购兹邀请符合资格条件的供应商就下述采购项目提交密封的响应文件并提出报价。</w:t>
      </w:r>
    </w:p>
    <w:p w14:paraId="3BC65D9F">
      <w:pPr>
        <w:spacing w:line="360" w:lineRule="auto"/>
        <w:ind w:firstLine="361" w:firstLineChars="150"/>
        <w:jc w:val="left"/>
        <w:rPr>
          <w:rFonts w:hint="default" w:ascii="宋体" w:hAnsi="宋体"/>
          <w:b/>
          <w:sz w:val="24"/>
          <w:lang w:val="en-US"/>
        </w:rPr>
      </w:pPr>
      <w:r>
        <w:rPr>
          <w:rFonts w:hint="eastAsia" w:ascii="宋体" w:hAnsi="宋体"/>
          <w:b/>
          <w:sz w:val="24"/>
        </w:rPr>
        <w:t>一、采购项目名称：</w:t>
      </w:r>
      <w:r>
        <w:rPr>
          <w:rFonts w:hint="eastAsia" w:ascii="宋体" w:hAnsi="宋体"/>
          <w:sz w:val="24"/>
          <w:lang w:val="en-US" w:eastAsia="zh-CN"/>
        </w:rPr>
        <w:t>新校区图书采购项目</w:t>
      </w:r>
    </w:p>
    <w:p w14:paraId="2ADA4E08">
      <w:pPr>
        <w:spacing w:line="360" w:lineRule="auto"/>
        <w:ind w:firstLine="482" w:firstLineChars="200"/>
        <w:rPr>
          <w:rFonts w:hint="eastAsia" w:ascii="宋体" w:hAnsi="宋体"/>
          <w:sz w:val="24"/>
        </w:rPr>
      </w:pPr>
      <w:r>
        <w:rPr>
          <w:rFonts w:hint="eastAsia" w:ascii="宋体" w:hAnsi="宋体"/>
          <w:b/>
          <w:sz w:val="24"/>
        </w:rPr>
        <w:t>二、采购项目编号</w:t>
      </w:r>
      <w:r>
        <w:rPr>
          <w:rFonts w:hint="eastAsia" w:ascii="宋体" w:hAnsi="宋体"/>
          <w:sz w:val="24"/>
        </w:rPr>
        <w:t>：</w:t>
      </w:r>
    </w:p>
    <w:p w14:paraId="7152C7BD">
      <w:pPr>
        <w:spacing w:line="360" w:lineRule="auto"/>
        <w:ind w:firstLine="482" w:firstLineChars="200"/>
        <w:rPr>
          <w:rFonts w:ascii="宋体" w:hAnsi="宋体"/>
          <w:sz w:val="24"/>
        </w:rPr>
      </w:pPr>
      <w:r>
        <w:rPr>
          <w:rFonts w:hint="eastAsia" w:ascii="宋体" w:hAnsi="宋体"/>
          <w:b/>
          <w:sz w:val="24"/>
        </w:rPr>
        <w:t>三、</w:t>
      </w:r>
      <w:r>
        <w:rPr>
          <w:rFonts w:hint="eastAsia" w:ascii="宋体" w:hAnsi="宋体" w:cs="宋体"/>
          <w:b/>
          <w:color w:val="auto"/>
          <w:kern w:val="1"/>
          <w:sz w:val="24"/>
          <w:szCs w:val="24"/>
        </w:rPr>
        <w:t>预算金额</w:t>
      </w:r>
      <w:r>
        <w:rPr>
          <w:rFonts w:hint="eastAsia" w:ascii="宋体" w:hAnsi="宋体" w:cs="宋体"/>
          <w:color w:val="auto"/>
          <w:kern w:val="1"/>
          <w:sz w:val="24"/>
          <w:szCs w:val="24"/>
        </w:rPr>
        <w:t>：</w:t>
      </w:r>
      <w:r>
        <w:rPr>
          <w:rStyle w:val="176"/>
          <w:rFonts w:hint="eastAsia" w:ascii="宋体" w:hAnsi="宋体"/>
          <w:color w:val="auto"/>
          <w:sz w:val="24"/>
          <w:lang w:val="en-US"/>
        </w:rPr>
        <w:t>10万元</w:t>
      </w:r>
      <w:r>
        <w:rPr>
          <w:rFonts w:hint="eastAsia" w:ascii="宋体" w:hAnsi="宋体"/>
          <w:color w:val="000000"/>
          <w:sz w:val="24"/>
        </w:rPr>
        <w:t>。</w:t>
      </w:r>
    </w:p>
    <w:p w14:paraId="678E470A">
      <w:pPr>
        <w:widowControl/>
        <w:spacing w:line="360" w:lineRule="auto"/>
        <w:ind w:firstLine="482" w:firstLineChars="200"/>
        <w:jc w:val="left"/>
        <w:rPr>
          <w:rFonts w:ascii="宋体" w:hAnsi="宋体"/>
          <w:sz w:val="24"/>
          <w:szCs w:val="28"/>
        </w:rPr>
      </w:pPr>
      <w:r>
        <w:rPr>
          <w:rFonts w:hint="eastAsia" w:ascii="宋体" w:hAnsi="宋体"/>
          <w:b/>
          <w:sz w:val="24"/>
        </w:rPr>
        <w:t>四、采购内容：</w:t>
      </w:r>
      <w:r>
        <w:rPr>
          <w:rFonts w:hint="eastAsia" w:ascii="宋体" w:hAnsi="宋体"/>
          <w:b/>
          <w:sz w:val="24"/>
          <w:lang w:val="en-US" w:eastAsia="zh-CN"/>
        </w:rPr>
        <w:t>按照学校要求目录采购新校区图书</w:t>
      </w:r>
      <w:r>
        <w:rPr>
          <w:rFonts w:hint="eastAsia" w:ascii="宋体" w:hAnsi="宋体"/>
          <w:sz w:val="24"/>
        </w:rPr>
        <w:t>（详见谈判文件第五章,如遇国家政策性变化，以国家现行相关政策为准。）</w:t>
      </w:r>
    </w:p>
    <w:p w14:paraId="2944A1DA">
      <w:pPr>
        <w:spacing w:line="360" w:lineRule="auto"/>
        <w:ind w:firstLine="482" w:firstLineChars="200"/>
        <w:rPr>
          <w:rFonts w:ascii="宋体" w:hAnsi="宋体"/>
          <w:b/>
          <w:bCs/>
          <w:sz w:val="24"/>
        </w:rPr>
      </w:pPr>
      <w:r>
        <w:rPr>
          <w:rFonts w:hint="eastAsia" w:ascii="宋体" w:hAnsi="宋体"/>
          <w:b/>
          <w:bCs/>
          <w:sz w:val="24"/>
        </w:rPr>
        <w:t>五</w:t>
      </w:r>
      <w:r>
        <w:rPr>
          <w:rFonts w:hint="eastAsia" w:ascii="宋体" w:hAnsi="宋体"/>
          <w:sz w:val="24"/>
        </w:rPr>
        <w:t>、</w:t>
      </w:r>
      <w:r>
        <w:rPr>
          <w:rFonts w:hint="eastAsia" w:ascii="宋体" w:hAnsi="宋体"/>
          <w:b/>
          <w:bCs/>
          <w:sz w:val="24"/>
          <w:lang w:eastAsia="zh-CN"/>
        </w:rPr>
        <w:t>合格供应商要求</w:t>
      </w:r>
      <w:r>
        <w:rPr>
          <w:rFonts w:hint="eastAsia" w:ascii="宋体" w:hAnsi="宋体"/>
          <w:b/>
          <w:bCs/>
          <w:sz w:val="24"/>
        </w:rPr>
        <w:t>：</w:t>
      </w:r>
    </w:p>
    <w:p w14:paraId="13D247A5">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1、具有独立承担民事责任的能力；</w:t>
      </w:r>
    </w:p>
    <w:p w14:paraId="5848BA8B">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2、具有良好的商业信誉和健全的财务会计制度；</w:t>
      </w:r>
    </w:p>
    <w:p w14:paraId="1F30C0B3">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3、具有履行合同所必须的设备和专业技术能力；</w:t>
      </w:r>
    </w:p>
    <w:p w14:paraId="5AFCBAA0">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4、具有依法缴纳税收和社会保障资金的良好记录；</w:t>
      </w:r>
    </w:p>
    <w:p w14:paraId="6BCA6661">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5、参加本次招标活动前三年内，在经营活动中没有重大违法记录；</w:t>
      </w:r>
    </w:p>
    <w:p w14:paraId="66E084F8">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6、供应商及其现任法定代表人（非法人机构则为主要负责人）不得具有行贿犯罪记录。</w:t>
      </w:r>
    </w:p>
    <w:p w14:paraId="01D7EC8A">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7、截止至递交响应文件截止时间</w:t>
      </w:r>
      <w:r>
        <w:rPr>
          <w:rFonts w:hint="eastAsia" w:ascii="宋体" w:hAnsi="宋体"/>
          <w:sz w:val="24"/>
          <w:lang w:val="en-US" w:eastAsia="zh-CN"/>
        </w:rPr>
        <w:t>当日</w:t>
      </w:r>
      <w:r>
        <w:rPr>
          <w:rFonts w:hint="eastAsia" w:ascii="宋体" w:hAnsi="宋体"/>
          <w:sz w:val="24"/>
        </w:rPr>
        <w:t>，</w:t>
      </w:r>
      <w:r>
        <w:rPr>
          <w:rFonts w:hint="eastAsia" w:ascii="宋体" w:hAnsi="宋体"/>
          <w:sz w:val="24"/>
          <w:lang w:val="en-US" w:eastAsia="zh-CN"/>
        </w:rPr>
        <w:t>未被</w:t>
      </w:r>
      <w:r>
        <w:rPr>
          <w:rFonts w:hint="eastAsia" w:ascii="宋体" w:hAnsi="宋体"/>
          <w:sz w:val="24"/>
        </w:rPr>
        <w:t>“信用中国”网站（www.creditchina.gov.cn）、“中国政府采购网”网站（www.ccgp.gov.cn）等</w:t>
      </w:r>
      <w:r>
        <w:rPr>
          <w:rFonts w:hint="eastAsia" w:ascii="宋体" w:hAnsi="宋体"/>
          <w:sz w:val="24"/>
          <w:lang w:val="en-US" w:eastAsia="zh-CN"/>
        </w:rPr>
        <w:t>平台</w:t>
      </w:r>
      <w:r>
        <w:rPr>
          <w:rFonts w:hint="eastAsia" w:ascii="宋体" w:hAnsi="宋体"/>
          <w:sz w:val="24"/>
        </w:rPr>
        <w:t>列入失信被执行人、重大税收违法案件当事人名单、政府采购严重违法失信行为记录名单中的供应商。</w:t>
      </w:r>
    </w:p>
    <w:p w14:paraId="55037780">
      <w:pPr>
        <w:pageBreakBefore w:val="0"/>
        <w:kinsoku/>
        <w:wordWrap w:val="0"/>
        <w:overflowPunct/>
        <w:topLinePunct w:val="0"/>
        <w:bidi w:val="0"/>
        <w:spacing w:line="360" w:lineRule="auto"/>
        <w:ind w:firstLine="480"/>
        <w:jc w:val="left"/>
        <w:textAlignment w:val="auto"/>
        <w:rPr>
          <w:rFonts w:ascii="宋体" w:hAnsi="宋体"/>
          <w:sz w:val="24"/>
        </w:rPr>
      </w:pPr>
      <w:r>
        <w:rPr>
          <w:rFonts w:hint="eastAsia" w:ascii="宋体" w:hAnsi="宋体"/>
          <w:sz w:val="24"/>
          <w:lang w:val="en-US" w:eastAsia="zh-CN"/>
        </w:rPr>
        <w:t>8</w:t>
      </w:r>
      <w:r>
        <w:rPr>
          <w:rFonts w:hint="eastAsia" w:ascii="宋体" w:hAnsi="宋体"/>
          <w:sz w:val="24"/>
        </w:rPr>
        <w:t>.本项目不接受联合体参加</w:t>
      </w:r>
      <w:r>
        <w:rPr>
          <w:rFonts w:hint="eastAsia" w:ascii="宋体" w:hAnsi="宋体"/>
          <w:sz w:val="24"/>
          <w:lang w:eastAsia="zh-CN"/>
        </w:rPr>
        <w:t>谈判</w:t>
      </w:r>
      <w:r>
        <w:rPr>
          <w:rFonts w:hint="eastAsia" w:ascii="宋体" w:hAnsi="宋体"/>
          <w:sz w:val="24"/>
        </w:rPr>
        <w:t>活动。</w:t>
      </w:r>
    </w:p>
    <w:p w14:paraId="01267060">
      <w:pPr>
        <w:spacing w:line="360" w:lineRule="auto"/>
        <w:ind w:firstLine="482" w:firstLineChars="200"/>
        <w:rPr>
          <w:rFonts w:ascii="宋体" w:hAnsi="宋体"/>
          <w:b/>
          <w:sz w:val="24"/>
        </w:rPr>
      </w:pPr>
      <w:r>
        <w:rPr>
          <w:rFonts w:hint="eastAsia" w:ascii="宋体" w:hAnsi="宋体"/>
          <w:b/>
          <w:sz w:val="24"/>
        </w:rPr>
        <w:t>六、严禁参加本次采购活动的供应商</w:t>
      </w:r>
    </w:p>
    <w:p w14:paraId="2831D9C9">
      <w:pPr>
        <w:spacing w:line="360" w:lineRule="auto"/>
        <w:ind w:firstLine="480" w:firstLineChars="200"/>
        <w:rPr>
          <w:rFonts w:ascii="宋体" w:hAnsi="宋体"/>
          <w:sz w:val="24"/>
        </w:rPr>
      </w:pPr>
      <w:r>
        <w:rPr>
          <w:rFonts w:hint="eastAsia" w:ascii="宋体" w:hAnsi="宋体"/>
          <w:sz w:val="24"/>
        </w:rPr>
        <w:t>1.根据《关于在政府采购活动中查询及使用信用记录有关问题的通知》（财库〔</w:t>
      </w:r>
      <w:r>
        <w:rPr>
          <w:rFonts w:hint="eastAsia" w:ascii="宋体" w:hAnsi="宋体"/>
          <w:sz w:val="24"/>
          <w:lang w:eastAsia="zh-CN"/>
        </w:rPr>
        <w:t>202</w:t>
      </w:r>
      <w:r>
        <w:rPr>
          <w:rFonts w:hint="eastAsia" w:ascii="宋体" w:hAnsi="宋体"/>
          <w:sz w:val="24"/>
        </w:rPr>
        <w:t>6〕125号）的要求，</w:t>
      </w:r>
      <w:r>
        <w:rPr>
          <w:rFonts w:hint="eastAsia" w:ascii="宋体" w:hAnsi="宋体"/>
          <w:sz w:val="24"/>
          <w:lang w:val="en-US" w:eastAsia="zh-CN"/>
        </w:rPr>
        <w:t>供应商被</w:t>
      </w:r>
      <w:r>
        <w:rPr>
          <w:rFonts w:hint="eastAsia" w:ascii="宋体" w:hAnsi="宋体"/>
          <w:sz w:val="24"/>
        </w:rPr>
        <w:t>“信用中国”网站（www.creditchina.gov.cn）、“</w:t>
      </w:r>
      <w:r>
        <w:rPr>
          <w:rFonts w:hint="eastAsia" w:ascii="宋体" w:hAnsi="宋体"/>
          <w:sz w:val="24"/>
          <w:lang w:eastAsia="zh-CN"/>
        </w:rPr>
        <w:t>中国政府采购</w:t>
      </w:r>
      <w:r>
        <w:rPr>
          <w:rFonts w:hint="eastAsia" w:ascii="宋体" w:hAnsi="宋体"/>
          <w:sz w:val="24"/>
        </w:rPr>
        <w:t>”网站（www.ccgp.gov.cn）等</w:t>
      </w:r>
      <w:r>
        <w:rPr>
          <w:rFonts w:hint="eastAsia" w:ascii="宋体" w:hAnsi="宋体"/>
          <w:sz w:val="24"/>
          <w:lang w:val="en-US" w:eastAsia="zh-CN"/>
        </w:rPr>
        <w:t>网站</w:t>
      </w:r>
      <w:r>
        <w:rPr>
          <w:rFonts w:hint="eastAsia" w:ascii="宋体" w:hAnsi="宋体"/>
          <w:sz w:val="24"/>
        </w:rPr>
        <w:t>列入失信被执行人名单、重大税收违法案件当事人名单、政府采购严重违法失信行为记录名单中的供应商</w:t>
      </w:r>
      <w:r>
        <w:rPr>
          <w:rFonts w:hint="eastAsia" w:ascii="宋体" w:hAnsi="宋体"/>
          <w:sz w:val="24"/>
          <w:lang w:val="en-US" w:eastAsia="zh-CN"/>
        </w:rPr>
        <w:t>不得</w:t>
      </w:r>
      <w:r>
        <w:rPr>
          <w:rFonts w:hint="eastAsia" w:ascii="宋体" w:hAnsi="宋体"/>
          <w:sz w:val="24"/>
        </w:rPr>
        <w:t>报名参加本项目的采购活动。</w:t>
      </w:r>
    </w:p>
    <w:p w14:paraId="2C9DDCDC">
      <w:pPr>
        <w:spacing w:line="360" w:lineRule="auto"/>
        <w:ind w:firstLine="482" w:firstLineChars="200"/>
        <w:rPr>
          <w:rFonts w:ascii="宋体" w:hAnsi="宋体"/>
          <w:b/>
          <w:sz w:val="24"/>
        </w:rPr>
      </w:pPr>
      <w:r>
        <w:rPr>
          <w:rFonts w:hint="eastAsia" w:ascii="宋体" w:hAnsi="宋体"/>
          <w:b/>
          <w:sz w:val="24"/>
        </w:rPr>
        <w:t>七、谈判文件获取方式、时间、地点：</w:t>
      </w:r>
    </w:p>
    <w:p w14:paraId="690CF43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1、获取时间：2025年</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18</w:t>
      </w:r>
      <w:r>
        <w:rPr>
          <w:rFonts w:hint="eastAsia" w:ascii="仿宋" w:hAnsi="仿宋" w:eastAsia="仿宋" w:cs="仿宋"/>
          <w:sz w:val="24"/>
          <w:highlight w:val="none"/>
        </w:rPr>
        <w:t>日至2025年</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日09:00-17:00（北京时间）</w:t>
      </w:r>
    </w:p>
    <w:p w14:paraId="7162FD60">
      <w:pPr>
        <w:wordWrap w:val="0"/>
        <w:spacing w:line="360" w:lineRule="auto"/>
        <w:ind w:firstLine="480" w:firstLineChars="200"/>
        <w:rPr>
          <w:rFonts w:ascii="宋体" w:hAnsi="宋体" w:cs="宋体"/>
          <w:color w:val="auto"/>
          <w:kern w:val="1"/>
          <w:sz w:val="24"/>
          <w:szCs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、获取地点及方式：供应商请访问</w:t>
      </w:r>
      <w:r>
        <w:rPr>
          <w:rFonts w:hint="eastAsia" w:ascii="仿宋" w:hAnsi="仿宋" w:eastAsia="仿宋" w:cs="仿宋"/>
          <w:sz w:val="24"/>
          <w:highlight w:val="none"/>
          <w:lang w:eastAsia="zh-CN"/>
        </w:rPr>
        <w:t>四川省成都市第二中学</w:t>
      </w:r>
      <w:r>
        <w:rPr>
          <w:rFonts w:hint="eastAsia" w:ascii="仿宋" w:hAnsi="仿宋" w:eastAsia="仿宋" w:cs="仿宋"/>
          <w:sz w:val="24"/>
          <w:highlight w:val="none"/>
        </w:rPr>
        <w:t>官方网站获取</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w:t>
      </w:r>
    </w:p>
    <w:p w14:paraId="00C4E785">
      <w:pPr>
        <w:spacing w:line="360" w:lineRule="auto"/>
        <w:ind w:firstLine="482" w:firstLineChars="200"/>
        <w:rPr>
          <w:rFonts w:hint="eastAsia" w:ascii="宋体" w:hAnsi="宋体"/>
          <w:sz w:val="24"/>
          <w:szCs w:val="28"/>
          <w:highlight w:val="none"/>
        </w:rPr>
      </w:pPr>
      <w:r>
        <w:rPr>
          <w:rFonts w:hint="eastAsia" w:ascii="宋体" w:hAnsi="宋体"/>
          <w:b/>
          <w:sz w:val="24"/>
          <w:szCs w:val="28"/>
          <w:highlight w:val="none"/>
        </w:rPr>
        <w:t>八、递交响应文件</w:t>
      </w:r>
      <w:r>
        <w:rPr>
          <w:rFonts w:hint="eastAsia" w:ascii="宋体" w:hAnsi="宋体"/>
          <w:b/>
          <w:sz w:val="24"/>
          <w:highlight w:val="none"/>
        </w:rPr>
        <w:t>截止时间</w:t>
      </w:r>
      <w:r>
        <w:rPr>
          <w:rFonts w:hint="eastAsia" w:ascii="宋体" w:hAnsi="宋体"/>
          <w:b/>
          <w:sz w:val="24"/>
          <w:highlight w:val="none"/>
        </w:rPr>
        <w:t>：</w:t>
      </w:r>
      <w:r>
        <w:rPr>
          <w:rFonts w:hint="eastAsia" w:hAnsi="宋体"/>
          <w:bCs/>
          <w:sz w:val="24"/>
          <w:szCs w:val="28"/>
          <w:highlight w:val="none"/>
          <w:u w:val="single"/>
        </w:rPr>
        <w:t>2</w:t>
      </w:r>
      <w:r>
        <w:rPr>
          <w:rFonts w:hint="eastAsia" w:hAnsi="宋体"/>
          <w:bCs/>
          <w:sz w:val="24"/>
          <w:highlight w:val="none"/>
          <w:u w:val="single"/>
        </w:rPr>
        <w:t>0</w:t>
      </w:r>
      <w:r>
        <w:rPr>
          <w:rFonts w:hint="eastAsia" w:hAnsi="宋体"/>
          <w:bCs/>
          <w:sz w:val="24"/>
          <w:highlight w:val="none"/>
          <w:u w:val="single"/>
          <w:lang w:val="en-US" w:eastAsia="zh-CN"/>
        </w:rPr>
        <w:t>25</w:t>
      </w:r>
      <w:r>
        <w:rPr>
          <w:rFonts w:hint="eastAsia" w:hAnsi="宋体"/>
          <w:bCs/>
          <w:sz w:val="24"/>
          <w:highlight w:val="none"/>
          <w:u w:val="single"/>
        </w:rPr>
        <w:t>年</w:t>
      </w:r>
      <w:r>
        <w:rPr>
          <w:rFonts w:hint="eastAsia" w:hAnsi="宋体"/>
          <w:bCs/>
          <w:sz w:val="24"/>
          <w:highlight w:val="none"/>
          <w:u w:val="single"/>
          <w:lang w:val="en-US" w:eastAsia="zh-CN"/>
        </w:rPr>
        <w:t>8</w:t>
      </w:r>
      <w:r>
        <w:rPr>
          <w:rFonts w:hint="eastAsia" w:ascii="宋体" w:hAnsi="宋体"/>
          <w:sz w:val="24"/>
          <w:highlight w:val="none"/>
          <w:u w:val="single"/>
        </w:rPr>
        <w:t>月</w:t>
      </w:r>
      <w:r>
        <w:rPr>
          <w:rFonts w:hint="eastAsia" w:ascii="宋体" w:hAnsi="宋体"/>
          <w:sz w:val="24"/>
          <w:highlight w:val="none"/>
          <w:u w:val="single"/>
          <w:lang w:val="en-US" w:eastAsia="zh-CN"/>
        </w:rPr>
        <w:t>25</w:t>
      </w:r>
      <w:r>
        <w:rPr>
          <w:rFonts w:hint="eastAsia" w:ascii="宋体" w:hAnsi="宋体"/>
          <w:sz w:val="24"/>
          <w:highlight w:val="none"/>
          <w:u w:val="single"/>
        </w:rPr>
        <w:t>日</w:t>
      </w:r>
      <w:r>
        <w:rPr>
          <w:rFonts w:hint="eastAsia" w:ascii="宋体" w:hAnsi="宋体"/>
          <w:sz w:val="24"/>
          <w:highlight w:val="none"/>
          <w:u w:val="single"/>
          <w:lang w:val="en-US" w:eastAsia="zh-CN"/>
        </w:rPr>
        <w:t>9</w:t>
      </w:r>
      <w:r>
        <w:rPr>
          <w:rFonts w:hint="eastAsia" w:ascii="宋体" w:hAnsi="宋体"/>
          <w:sz w:val="24"/>
          <w:highlight w:val="none"/>
          <w:u w:val="single"/>
        </w:rPr>
        <w:t>:</w:t>
      </w:r>
      <w:r>
        <w:rPr>
          <w:rFonts w:hint="eastAsia" w:ascii="宋体" w:hAnsi="宋体"/>
          <w:sz w:val="24"/>
          <w:highlight w:val="none"/>
          <w:u w:val="single"/>
          <w:lang w:val="en-US" w:eastAsia="zh-CN"/>
        </w:rPr>
        <w:t>3</w:t>
      </w:r>
      <w:r>
        <w:rPr>
          <w:rFonts w:hint="eastAsia" w:ascii="宋体" w:hAnsi="宋体"/>
          <w:sz w:val="24"/>
          <w:highlight w:val="none"/>
          <w:u w:val="single"/>
        </w:rPr>
        <w:t>0</w:t>
      </w:r>
      <w:r>
        <w:rPr>
          <w:rFonts w:hAnsi="宋体"/>
          <w:sz w:val="24"/>
          <w:szCs w:val="28"/>
          <w:highlight w:val="none"/>
          <w:u w:val="single"/>
        </w:rPr>
        <w:t>（北京时间）</w:t>
      </w:r>
      <w:r>
        <w:rPr>
          <w:rFonts w:hint="eastAsia" w:ascii="宋体" w:hAnsi="宋体"/>
          <w:sz w:val="24"/>
          <w:szCs w:val="28"/>
          <w:highlight w:val="none"/>
        </w:rPr>
        <w:t>。</w:t>
      </w:r>
    </w:p>
    <w:p w14:paraId="41BC386F">
      <w:pPr>
        <w:spacing w:line="360" w:lineRule="auto"/>
        <w:ind w:firstLine="480" w:firstLineChars="200"/>
        <w:rPr>
          <w:rFonts w:hint="default" w:ascii="宋体" w:hAnsi="宋体" w:eastAsia="宋体"/>
          <w:sz w:val="24"/>
          <w:szCs w:val="28"/>
          <w:highlight w:val="none"/>
          <w:lang w:val="en-US" w:eastAsia="zh-CN"/>
        </w:rPr>
      </w:pPr>
      <w:r>
        <w:rPr>
          <w:rFonts w:hint="eastAsia" w:ascii="宋体" w:hAnsi="宋体"/>
          <w:sz w:val="24"/>
          <w:szCs w:val="28"/>
          <w:highlight w:val="none"/>
          <w:lang w:val="en-US" w:eastAsia="zh-CN"/>
        </w:rPr>
        <w:t>九、开标时间：</w:t>
      </w:r>
      <w:r>
        <w:rPr>
          <w:rFonts w:hint="eastAsia" w:hAnsi="宋体"/>
          <w:bCs/>
          <w:sz w:val="24"/>
          <w:szCs w:val="28"/>
          <w:highlight w:val="none"/>
          <w:u w:val="single"/>
        </w:rPr>
        <w:t>2</w:t>
      </w:r>
      <w:r>
        <w:rPr>
          <w:rFonts w:hint="eastAsia" w:hAnsi="宋体"/>
          <w:bCs/>
          <w:sz w:val="24"/>
          <w:highlight w:val="none"/>
          <w:u w:val="single"/>
        </w:rPr>
        <w:t>0</w:t>
      </w:r>
      <w:r>
        <w:rPr>
          <w:rFonts w:hint="eastAsia" w:hAnsi="宋体"/>
          <w:bCs/>
          <w:sz w:val="24"/>
          <w:highlight w:val="none"/>
          <w:u w:val="single"/>
          <w:lang w:val="en-US" w:eastAsia="zh-CN"/>
        </w:rPr>
        <w:t>25</w:t>
      </w:r>
      <w:r>
        <w:rPr>
          <w:rFonts w:hint="eastAsia" w:hAnsi="宋体"/>
          <w:bCs/>
          <w:sz w:val="24"/>
          <w:highlight w:val="none"/>
          <w:u w:val="single"/>
        </w:rPr>
        <w:t>年</w:t>
      </w:r>
      <w:r>
        <w:rPr>
          <w:rFonts w:hint="eastAsia" w:hAnsi="宋体"/>
          <w:bCs/>
          <w:sz w:val="24"/>
          <w:highlight w:val="none"/>
          <w:u w:val="single"/>
          <w:lang w:val="en-US" w:eastAsia="zh-CN"/>
        </w:rPr>
        <w:t>8</w:t>
      </w:r>
      <w:r>
        <w:rPr>
          <w:rFonts w:hint="eastAsia" w:ascii="宋体" w:hAnsi="宋体"/>
          <w:sz w:val="24"/>
          <w:highlight w:val="none"/>
          <w:u w:val="single"/>
        </w:rPr>
        <w:t>月</w:t>
      </w:r>
      <w:r>
        <w:rPr>
          <w:rFonts w:hint="eastAsia" w:ascii="宋体" w:hAnsi="宋体"/>
          <w:sz w:val="24"/>
          <w:highlight w:val="none"/>
          <w:u w:val="single"/>
          <w:lang w:val="en-US" w:eastAsia="zh-CN"/>
        </w:rPr>
        <w:t>25</w:t>
      </w:r>
      <w:r>
        <w:rPr>
          <w:rFonts w:hint="eastAsia" w:ascii="宋体" w:hAnsi="宋体"/>
          <w:sz w:val="24"/>
          <w:highlight w:val="none"/>
          <w:u w:val="single"/>
        </w:rPr>
        <w:t>日</w:t>
      </w:r>
      <w:r>
        <w:rPr>
          <w:rFonts w:hint="eastAsia" w:ascii="宋体" w:hAnsi="宋体"/>
          <w:sz w:val="24"/>
          <w:highlight w:val="none"/>
          <w:u w:val="single"/>
          <w:lang w:val="en-US" w:eastAsia="zh-CN"/>
        </w:rPr>
        <w:t>10</w:t>
      </w:r>
      <w:r>
        <w:rPr>
          <w:rFonts w:hint="eastAsia" w:ascii="宋体" w:hAnsi="宋体"/>
          <w:sz w:val="24"/>
          <w:highlight w:val="none"/>
          <w:u w:val="single"/>
        </w:rPr>
        <w:t>:</w:t>
      </w:r>
      <w:r>
        <w:rPr>
          <w:rFonts w:hint="eastAsia" w:ascii="宋体" w:hAnsi="宋体"/>
          <w:sz w:val="24"/>
          <w:highlight w:val="none"/>
          <w:u w:val="single"/>
          <w:lang w:val="en-US" w:eastAsia="zh-CN"/>
        </w:rPr>
        <w:t>0</w:t>
      </w:r>
      <w:r>
        <w:rPr>
          <w:rFonts w:hint="eastAsia" w:ascii="宋体" w:hAnsi="宋体"/>
          <w:sz w:val="24"/>
          <w:highlight w:val="none"/>
          <w:u w:val="single"/>
        </w:rPr>
        <w:t>0</w:t>
      </w:r>
      <w:r>
        <w:rPr>
          <w:rFonts w:hAnsi="宋体"/>
          <w:sz w:val="24"/>
          <w:szCs w:val="28"/>
          <w:highlight w:val="none"/>
          <w:u w:val="single"/>
        </w:rPr>
        <w:t>（北京时间）</w:t>
      </w:r>
    </w:p>
    <w:p w14:paraId="3B7F45FA">
      <w:pPr>
        <w:spacing w:line="360" w:lineRule="auto"/>
        <w:ind w:firstLine="482" w:firstLineChars="200"/>
        <w:rPr>
          <w:rFonts w:hint="default" w:ascii="宋体" w:hAnsi="宋体" w:eastAsia="宋体"/>
          <w:b/>
          <w:sz w:val="24"/>
          <w:highlight w:val="none"/>
          <w:lang w:val="en-US" w:eastAsia="zh-CN"/>
        </w:rPr>
      </w:pPr>
      <w:r>
        <w:rPr>
          <w:rFonts w:hint="eastAsia" w:ascii="宋体" w:hAnsi="宋体"/>
          <w:b/>
          <w:sz w:val="24"/>
          <w:highlight w:val="none"/>
          <w:lang w:val="en-US" w:eastAsia="zh-CN"/>
        </w:rPr>
        <w:t>十</w:t>
      </w:r>
      <w:r>
        <w:rPr>
          <w:rFonts w:hint="eastAsia" w:ascii="宋体" w:hAnsi="宋体"/>
          <w:b/>
          <w:sz w:val="24"/>
          <w:highlight w:val="none"/>
        </w:rPr>
        <w:t>、递交响应文件地点：</w:t>
      </w:r>
      <w:r>
        <w:rPr>
          <w:rFonts w:hint="eastAsia" w:ascii="宋体" w:hAnsi="宋体"/>
          <w:b/>
          <w:sz w:val="24"/>
          <w:highlight w:val="none"/>
          <w:lang w:val="en-US" w:eastAsia="zh-CN"/>
        </w:rPr>
        <w:t>四川省成都市第二中学（成都市锦江区红星路一段</w:t>
      </w:r>
    </w:p>
    <w:p w14:paraId="79B83463">
      <w:pPr>
        <w:spacing w:line="360" w:lineRule="auto"/>
        <w:ind w:firstLine="482" w:firstLineChars="200"/>
        <w:rPr>
          <w:rFonts w:hint="eastAsia" w:ascii="宋体" w:hAnsi="宋体"/>
          <w:b/>
          <w:sz w:val="24"/>
          <w:highlight w:val="none"/>
          <w:lang w:val="en-US" w:eastAsia="zh-CN"/>
        </w:rPr>
      </w:pPr>
      <w:r>
        <w:rPr>
          <w:rFonts w:hint="eastAsia" w:ascii="宋体" w:hAnsi="宋体"/>
          <w:b/>
          <w:sz w:val="24"/>
          <w:highlight w:val="none"/>
          <w:lang w:val="en-US" w:eastAsia="zh-CN"/>
        </w:rPr>
        <w:t>37号）</w:t>
      </w:r>
    </w:p>
    <w:p w14:paraId="59EFF041">
      <w:pPr>
        <w:spacing w:line="360" w:lineRule="auto"/>
        <w:ind w:firstLine="480" w:firstLineChars="200"/>
        <w:rPr>
          <w:rFonts w:ascii="宋体" w:hAnsi="宋体"/>
          <w:sz w:val="24"/>
          <w:highlight w:val="none"/>
        </w:rPr>
      </w:pPr>
      <w:r>
        <w:rPr>
          <w:rFonts w:hint="eastAsia" w:ascii="宋体" w:hAnsi="宋体"/>
          <w:sz w:val="24"/>
          <w:highlight w:val="none"/>
        </w:rPr>
        <w:t>响应文件必须在递交响应文件截止时间前送达</w:t>
      </w:r>
      <w:r>
        <w:rPr>
          <w:rFonts w:hint="eastAsia" w:ascii="宋体" w:hAnsi="宋体"/>
          <w:sz w:val="24"/>
          <w:szCs w:val="18"/>
          <w:highlight w:val="none"/>
        </w:rPr>
        <w:t>谈判</w:t>
      </w:r>
      <w:r>
        <w:rPr>
          <w:rFonts w:hint="eastAsia" w:ascii="宋体" w:hAnsi="宋体"/>
          <w:sz w:val="24"/>
          <w:highlight w:val="none"/>
        </w:rPr>
        <w:t>地点。逾期送达或者未按照谈判文件要求密封的响应文件，不予接收。本次采购不接收邮寄的响应文件。</w:t>
      </w:r>
    </w:p>
    <w:p w14:paraId="25D80179">
      <w:pPr>
        <w:spacing w:line="360" w:lineRule="auto"/>
        <w:ind w:firstLine="482" w:firstLineChars="200"/>
        <w:rPr>
          <w:rFonts w:hint="eastAsia" w:ascii="宋体" w:hAnsi="宋体"/>
          <w:b/>
          <w:sz w:val="24"/>
          <w:highlight w:val="none"/>
          <w:lang w:eastAsia="zh-CN"/>
        </w:rPr>
      </w:pPr>
      <w:r>
        <w:rPr>
          <w:rFonts w:hint="eastAsia" w:ascii="宋体" w:hAnsi="宋体"/>
          <w:b/>
          <w:sz w:val="24"/>
          <w:szCs w:val="28"/>
          <w:highlight w:val="none"/>
        </w:rPr>
        <w:t>谈判</w:t>
      </w:r>
      <w:r>
        <w:rPr>
          <w:rFonts w:ascii="宋体" w:hAnsi="宋体"/>
          <w:b/>
          <w:sz w:val="24"/>
          <w:szCs w:val="28"/>
          <w:highlight w:val="none"/>
        </w:rPr>
        <w:t>地点：</w:t>
      </w:r>
      <w:r>
        <w:rPr>
          <w:rFonts w:hint="eastAsia" w:ascii="宋体" w:hAnsi="宋体"/>
          <w:b/>
          <w:sz w:val="24"/>
          <w:highlight w:val="none"/>
          <w:lang w:val="en-US" w:eastAsia="zh-CN"/>
        </w:rPr>
        <w:t>成都市锦江区红星路一段37号</w:t>
      </w:r>
    </w:p>
    <w:p w14:paraId="197B1923">
      <w:pPr>
        <w:pStyle w:val="17"/>
        <w:numPr>
          <w:ilvl w:val="0"/>
          <w:numId w:val="0"/>
        </w:numPr>
        <w:ind w:firstLine="482" w:firstLineChars="200"/>
        <w:rPr>
          <w:rFonts w:hint="eastAsia" w:eastAsia="宋体"/>
          <w:b/>
          <w:sz w:val="24"/>
          <w:highlight w:val="none"/>
          <w:lang w:eastAsia="zh-CN"/>
        </w:rPr>
      </w:pPr>
      <w:r>
        <w:rPr>
          <w:rFonts w:hint="eastAsia" w:ascii="宋体" w:hAnsi="宋体" w:eastAsia="宋体" w:cs="Times New Roman"/>
          <w:b/>
          <w:kern w:val="2"/>
          <w:sz w:val="24"/>
          <w:szCs w:val="24"/>
          <w:highlight w:val="none"/>
          <w:lang w:val="en-US" w:eastAsia="zh-CN" w:bidi="ar-SA"/>
        </w:rPr>
        <w:t>十</w:t>
      </w:r>
      <w:r>
        <w:rPr>
          <w:rFonts w:hint="eastAsia" w:ascii="宋体" w:hAnsi="宋体" w:cs="Times New Roman"/>
          <w:b/>
          <w:kern w:val="2"/>
          <w:sz w:val="24"/>
          <w:szCs w:val="24"/>
          <w:highlight w:val="none"/>
          <w:lang w:val="en-US" w:eastAsia="zh-CN" w:bidi="ar-SA"/>
        </w:rPr>
        <w:t>一</w:t>
      </w:r>
      <w:r>
        <w:rPr>
          <w:rFonts w:hint="eastAsia" w:ascii="宋体" w:hAnsi="宋体" w:eastAsia="宋体" w:cs="Times New Roman"/>
          <w:b/>
          <w:kern w:val="2"/>
          <w:sz w:val="24"/>
          <w:szCs w:val="24"/>
          <w:highlight w:val="none"/>
          <w:lang w:val="en-US" w:eastAsia="zh-CN" w:bidi="ar-SA"/>
        </w:rPr>
        <w:t>、</w:t>
      </w:r>
      <w:r>
        <w:rPr>
          <w:rFonts w:hint="eastAsia" w:ascii="宋体" w:hAnsi="宋体" w:cs="宋体"/>
          <w:b/>
          <w:color w:val="auto"/>
          <w:kern w:val="1"/>
          <w:sz w:val="24"/>
          <w:szCs w:val="24"/>
          <w:highlight w:val="none"/>
          <w:lang w:eastAsia="zh-CN"/>
        </w:rPr>
        <w:t>本项目相关信息在</w:t>
      </w:r>
      <w:r>
        <w:rPr>
          <w:rFonts w:hint="eastAsia" w:ascii="宋体" w:hAnsi="宋体" w:cs="宋体"/>
          <w:b/>
          <w:color w:val="auto"/>
          <w:kern w:val="1"/>
          <w:sz w:val="24"/>
          <w:szCs w:val="24"/>
          <w:highlight w:val="none"/>
          <w:lang w:val="en-US" w:eastAsia="zh-CN"/>
        </w:rPr>
        <w:t>四川省成都市第二中学官方网站</w:t>
      </w:r>
      <w:r>
        <w:rPr>
          <w:rFonts w:hint="eastAsia" w:ascii="宋体" w:hAnsi="宋体" w:cs="宋体"/>
          <w:b/>
          <w:color w:val="auto"/>
          <w:kern w:val="1"/>
          <w:sz w:val="24"/>
          <w:szCs w:val="24"/>
          <w:highlight w:val="none"/>
          <w:lang w:eastAsia="zh-CN"/>
        </w:rPr>
        <w:t>上公示。</w:t>
      </w:r>
    </w:p>
    <w:p w14:paraId="5A81DC41">
      <w:pPr>
        <w:pStyle w:val="94"/>
        <w:ind w:firstLine="482"/>
        <w:rPr>
          <w:b/>
          <w:sz w:val="24"/>
          <w:highlight w:val="none"/>
        </w:rPr>
      </w:pPr>
      <w:r>
        <w:rPr>
          <w:rFonts w:hint="eastAsia"/>
          <w:b/>
          <w:sz w:val="24"/>
          <w:highlight w:val="none"/>
        </w:rPr>
        <w:t>十</w:t>
      </w:r>
      <w:r>
        <w:rPr>
          <w:rFonts w:hint="eastAsia"/>
          <w:b/>
          <w:sz w:val="24"/>
          <w:highlight w:val="none"/>
          <w:lang w:val="en-US" w:eastAsia="zh-CN"/>
        </w:rPr>
        <w:t>二</w:t>
      </w:r>
      <w:r>
        <w:rPr>
          <w:rFonts w:hint="eastAsia"/>
          <w:b/>
          <w:sz w:val="24"/>
          <w:highlight w:val="none"/>
        </w:rPr>
        <w:t>、联系方式</w:t>
      </w:r>
    </w:p>
    <w:p w14:paraId="19DB763E">
      <w:pPr>
        <w:pStyle w:val="94"/>
        <w:ind w:firstLine="482"/>
        <w:rPr>
          <w:rFonts w:hint="default"/>
          <w:b/>
          <w:bCs/>
          <w:sz w:val="24"/>
          <w:highlight w:val="none"/>
          <w:lang w:val="en-US"/>
        </w:rPr>
      </w:pPr>
      <w:r>
        <w:rPr>
          <w:rFonts w:hint="eastAsia"/>
          <w:b/>
          <w:bCs/>
          <w:sz w:val="24"/>
          <w:highlight w:val="none"/>
        </w:rPr>
        <w:t>采 购 人：</w:t>
      </w:r>
      <w:r>
        <w:rPr>
          <w:rFonts w:hint="eastAsia"/>
          <w:b/>
          <w:bCs/>
          <w:sz w:val="24"/>
          <w:highlight w:val="none"/>
          <w:lang w:val="en-US" w:eastAsia="zh-CN"/>
        </w:rPr>
        <w:t>四川省成都市第二中学</w:t>
      </w:r>
    </w:p>
    <w:p w14:paraId="6C47D07F">
      <w:pPr>
        <w:spacing w:line="360" w:lineRule="auto"/>
        <w:ind w:firstLine="480" w:firstLineChars="200"/>
        <w:rPr>
          <w:rFonts w:ascii="宋体" w:hAnsi="宋体"/>
          <w:color w:val="FF0000"/>
          <w:sz w:val="24"/>
          <w:highlight w:val="none"/>
        </w:rPr>
      </w:pPr>
      <w:r>
        <w:rPr>
          <w:rFonts w:hint="eastAsia" w:ascii="宋体" w:hAnsi="宋体"/>
          <w:sz w:val="24"/>
          <w:highlight w:val="none"/>
        </w:rPr>
        <w:t>通讯地址：</w:t>
      </w:r>
      <w:r>
        <w:rPr>
          <w:rFonts w:hint="eastAsia" w:ascii="宋体" w:hAnsi="宋体"/>
          <w:b/>
          <w:sz w:val="24"/>
          <w:highlight w:val="none"/>
          <w:lang w:val="en-US" w:eastAsia="zh-CN"/>
        </w:rPr>
        <w:t>成都市锦江区红星路一段37号</w:t>
      </w:r>
      <w:bookmarkStart w:id="262" w:name="_GoBack"/>
      <w:bookmarkEnd w:id="262"/>
    </w:p>
    <w:p w14:paraId="2DEE55A1">
      <w:pPr>
        <w:pageBreakBefore w:val="0"/>
        <w:tabs>
          <w:tab w:val="left" w:pos="1095"/>
        </w:tabs>
        <w:kinsoku/>
        <w:wordWrap w:val="0"/>
        <w:overflowPunct/>
        <w:topLinePunct w:val="0"/>
        <w:bidi w:val="0"/>
        <w:snapToGrid/>
        <w:spacing w:line="360" w:lineRule="auto"/>
        <w:ind w:firstLine="480"/>
        <w:jc w:val="left"/>
        <w:rPr>
          <w:rFonts w:hint="eastAsia" w:ascii="宋体" w:hAnsi="宋体"/>
          <w:sz w:val="24"/>
          <w:highlight w:val="none"/>
          <w:lang w:val="en-US" w:eastAsia="zh-CN"/>
        </w:rPr>
      </w:pPr>
      <w:r>
        <w:rPr>
          <w:rFonts w:hint="eastAsia" w:ascii="宋体" w:hAnsi="宋体"/>
          <w:sz w:val="24"/>
          <w:highlight w:val="none"/>
        </w:rPr>
        <w:t>联 系 人</w:t>
      </w:r>
      <w:r>
        <w:rPr>
          <w:rFonts w:hint="eastAsia" w:ascii="宋体" w:hAnsi="宋体"/>
          <w:sz w:val="24"/>
          <w:highlight w:val="none"/>
          <w:lang w:eastAsia="zh-CN"/>
        </w:rPr>
        <w:t>：</w:t>
      </w:r>
      <w:r>
        <w:rPr>
          <w:rFonts w:hint="eastAsia" w:ascii="宋体" w:hAnsi="宋体"/>
          <w:sz w:val="24"/>
          <w:highlight w:val="none"/>
          <w:lang w:val="en-US" w:eastAsia="zh-CN"/>
        </w:rPr>
        <w:t>邓老师</w:t>
      </w:r>
    </w:p>
    <w:p w14:paraId="187449E8">
      <w:pPr>
        <w:ind w:firstLine="480" w:firstLineChars="200"/>
        <w:rPr>
          <w:rFonts w:hint="eastAsia" w:ascii="宋体" w:hAnsi="宋体"/>
          <w:sz w:val="24"/>
          <w:highlight w:val="none"/>
          <w:lang w:val="en-US" w:eastAsia="zh-CN"/>
        </w:rPr>
      </w:pPr>
      <w:r>
        <w:rPr>
          <w:rFonts w:hint="eastAsia" w:ascii="宋体" w:hAnsi="宋体"/>
          <w:sz w:val="24"/>
          <w:highlight w:val="none"/>
        </w:rPr>
        <w:t>联系电话：</w:t>
      </w:r>
      <w:bookmarkStart w:id="4" w:name="_Toc504987192"/>
      <w:bookmarkStart w:id="5" w:name="_Toc213397009"/>
      <w:bookmarkStart w:id="6" w:name="_Toc504988291"/>
      <w:bookmarkStart w:id="7" w:name="_Toc213496267"/>
      <w:bookmarkStart w:id="8" w:name="_Toc217446031"/>
      <w:bookmarkStart w:id="9" w:name="_Toc213396759"/>
      <w:bookmarkStart w:id="10" w:name="_Toc504991336"/>
      <w:bookmarkStart w:id="11" w:name="_Toc213396945"/>
      <w:r>
        <w:rPr>
          <w:rFonts w:hint="eastAsia" w:ascii="宋体" w:hAnsi="宋体"/>
          <w:sz w:val="24"/>
          <w:highlight w:val="none"/>
          <w:lang w:val="en-US" w:eastAsia="zh-CN"/>
        </w:rPr>
        <w:t>17761261230</w:t>
      </w:r>
    </w:p>
    <w:p w14:paraId="5CC1D0BA">
      <w:pPr>
        <w:rPr>
          <w:rFonts w:hint="eastAsia" w:ascii="宋体" w:hAnsi="宋体"/>
          <w:sz w:val="24"/>
          <w:highlight w:val="yellow"/>
          <w:lang w:val="en-US" w:eastAsia="zh-CN"/>
        </w:rPr>
      </w:pPr>
    </w:p>
    <w:p w14:paraId="7BE29CB5">
      <w:pPr>
        <w:rPr>
          <w:rFonts w:hint="eastAsia" w:ascii="宋体" w:hAnsi="宋体"/>
          <w:sz w:val="24"/>
          <w:highlight w:val="yellow"/>
          <w:lang w:val="en-US" w:eastAsia="zh-CN"/>
        </w:rPr>
      </w:pPr>
    </w:p>
    <w:p w14:paraId="09FAF0E8">
      <w:pPr>
        <w:rPr>
          <w:rFonts w:hint="eastAsia" w:ascii="宋体" w:hAnsi="宋体"/>
          <w:sz w:val="24"/>
          <w:highlight w:val="yellow"/>
          <w:lang w:val="en-US" w:eastAsia="zh-CN"/>
        </w:rPr>
      </w:pPr>
    </w:p>
    <w:p w14:paraId="1F2A7D24">
      <w:pPr>
        <w:rPr>
          <w:rFonts w:hint="eastAsia" w:ascii="宋体" w:hAnsi="宋体"/>
          <w:sz w:val="24"/>
          <w:highlight w:val="yellow"/>
          <w:lang w:val="en-US" w:eastAsia="zh-CN"/>
        </w:rPr>
      </w:pPr>
    </w:p>
    <w:p w14:paraId="2587766A">
      <w:pPr>
        <w:rPr>
          <w:rFonts w:hint="eastAsia" w:ascii="宋体" w:hAnsi="宋体"/>
          <w:sz w:val="24"/>
          <w:highlight w:val="yellow"/>
          <w:lang w:val="en-US" w:eastAsia="zh-CN"/>
        </w:rPr>
      </w:pPr>
    </w:p>
    <w:p w14:paraId="104F8A77">
      <w:pPr>
        <w:rPr>
          <w:rFonts w:hint="eastAsia" w:ascii="宋体" w:hAnsi="宋体"/>
          <w:sz w:val="24"/>
          <w:highlight w:val="yellow"/>
          <w:lang w:val="en-US" w:eastAsia="zh-CN"/>
        </w:rPr>
      </w:pPr>
    </w:p>
    <w:p w14:paraId="0AF0E734">
      <w:pPr>
        <w:rPr>
          <w:rFonts w:hint="eastAsia" w:ascii="宋体" w:hAnsi="宋体"/>
          <w:sz w:val="24"/>
          <w:highlight w:val="yellow"/>
          <w:lang w:val="en-US" w:eastAsia="zh-CN"/>
        </w:rPr>
      </w:pPr>
    </w:p>
    <w:p w14:paraId="6C14F2D3">
      <w:pPr>
        <w:rPr>
          <w:rFonts w:hint="eastAsia" w:ascii="宋体" w:hAnsi="宋体"/>
          <w:sz w:val="24"/>
          <w:highlight w:val="yellow"/>
          <w:lang w:val="en-US" w:eastAsia="zh-CN"/>
        </w:rPr>
      </w:pPr>
    </w:p>
    <w:p w14:paraId="2909A97F">
      <w:pPr>
        <w:rPr>
          <w:rFonts w:hint="eastAsia" w:ascii="宋体" w:hAnsi="宋体"/>
          <w:sz w:val="24"/>
          <w:highlight w:val="yellow"/>
          <w:lang w:val="en-US" w:eastAsia="zh-CN"/>
        </w:rPr>
      </w:pPr>
    </w:p>
    <w:p w14:paraId="1EBD1D98">
      <w:pPr>
        <w:rPr>
          <w:rFonts w:hint="eastAsia" w:ascii="宋体" w:hAnsi="宋体"/>
          <w:sz w:val="24"/>
          <w:highlight w:val="yellow"/>
          <w:lang w:val="en-US" w:eastAsia="zh-CN"/>
        </w:rPr>
      </w:pPr>
    </w:p>
    <w:p w14:paraId="53D1C332">
      <w:pPr>
        <w:rPr>
          <w:rFonts w:hint="eastAsia" w:ascii="宋体" w:hAnsi="宋体"/>
          <w:sz w:val="24"/>
          <w:highlight w:val="yellow"/>
          <w:lang w:val="en-US" w:eastAsia="zh-CN"/>
        </w:rPr>
      </w:pPr>
    </w:p>
    <w:p w14:paraId="0575677A">
      <w:pPr>
        <w:rPr>
          <w:rFonts w:hint="eastAsia" w:ascii="宋体" w:hAnsi="宋体"/>
          <w:sz w:val="24"/>
          <w:highlight w:val="yellow"/>
          <w:lang w:val="en-US" w:eastAsia="zh-CN"/>
        </w:rPr>
      </w:pPr>
    </w:p>
    <w:p w14:paraId="182F118E">
      <w:pPr>
        <w:rPr>
          <w:rFonts w:hint="eastAsia" w:ascii="宋体" w:hAnsi="宋体"/>
          <w:sz w:val="24"/>
          <w:highlight w:val="yellow"/>
          <w:lang w:val="en-US" w:eastAsia="zh-CN"/>
        </w:rPr>
      </w:pPr>
    </w:p>
    <w:p w14:paraId="59A802B9">
      <w:pPr>
        <w:rPr>
          <w:rFonts w:hint="eastAsia" w:ascii="宋体" w:hAnsi="宋体"/>
          <w:sz w:val="24"/>
          <w:highlight w:val="yellow"/>
          <w:lang w:val="en-US" w:eastAsia="zh-CN"/>
        </w:rPr>
      </w:pPr>
    </w:p>
    <w:p w14:paraId="7373A468">
      <w:pPr>
        <w:rPr>
          <w:rFonts w:hint="eastAsia" w:ascii="宋体" w:hAnsi="宋体"/>
          <w:sz w:val="24"/>
          <w:highlight w:val="yellow"/>
          <w:lang w:val="en-US" w:eastAsia="zh-CN"/>
        </w:rPr>
      </w:pPr>
    </w:p>
    <w:p w14:paraId="31F816DA">
      <w:pPr>
        <w:rPr>
          <w:rFonts w:hint="eastAsia" w:ascii="宋体" w:hAnsi="宋体"/>
          <w:sz w:val="24"/>
          <w:highlight w:val="yellow"/>
          <w:lang w:val="en-US" w:eastAsia="zh-CN"/>
        </w:rPr>
      </w:pPr>
    </w:p>
    <w:p w14:paraId="1699A8B3">
      <w:pPr>
        <w:rPr>
          <w:rFonts w:hint="eastAsia" w:ascii="宋体" w:hAnsi="宋体"/>
          <w:sz w:val="24"/>
          <w:highlight w:val="yellow"/>
          <w:lang w:val="en-US" w:eastAsia="zh-CN"/>
        </w:rPr>
      </w:pPr>
    </w:p>
    <w:p w14:paraId="55CE3FF7">
      <w:pPr>
        <w:rPr>
          <w:rFonts w:hint="eastAsia" w:ascii="宋体" w:hAnsi="宋体"/>
          <w:sz w:val="24"/>
          <w:highlight w:val="yellow"/>
          <w:lang w:val="en-US" w:eastAsia="zh-CN"/>
        </w:rPr>
      </w:pPr>
    </w:p>
    <w:p w14:paraId="3B872DCA">
      <w:pPr>
        <w:rPr>
          <w:rFonts w:hint="default" w:ascii="宋体" w:hAnsi="宋体"/>
          <w:sz w:val="24"/>
          <w:highlight w:val="yellow"/>
          <w:lang w:val="en-US" w:eastAsia="zh-CN"/>
        </w:rPr>
      </w:pPr>
    </w:p>
    <w:p w14:paraId="2DE9B77F">
      <w:pPr>
        <w:pStyle w:val="40"/>
        <w:spacing w:before="0" w:after="0" w:line="360" w:lineRule="auto"/>
      </w:pPr>
      <w:bookmarkStart w:id="12" w:name="_Toc14710"/>
      <w:r>
        <w:rPr>
          <w:rFonts w:hint="eastAsia"/>
        </w:rPr>
        <w:t>第二章  谈判须知</w:t>
      </w:r>
      <w:bookmarkEnd w:id="4"/>
      <w:bookmarkEnd w:id="5"/>
      <w:bookmarkEnd w:id="6"/>
      <w:bookmarkEnd w:id="7"/>
      <w:bookmarkEnd w:id="8"/>
      <w:bookmarkEnd w:id="9"/>
      <w:bookmarkEnd w:id="10"/>
      <w:bookmarkEnd w:id="11"/>
      <w:bookmarkEnd w:id="12"/>
    </w:p>
    <w:p w14:paraId="4D1714E1">
      <w:pPr>
        <w:pStyle w:val="3"/>
        <w:keepNext w:val="0"/>
        <w:keepLines w:val="0"/>
        <w:spacing w:before="0" w:after="0" w:line="360" w:lineRule="auto"/>
        <w:jc w:val="center"/>
      </w:pPr>
      <w:bookmarkStart w:id="13" w:name="_Toc504987193"/>
      <w:bookmarkStart w:id="14" w:name="_Toc504991337"/>
      <w:bookmarkStart w:id="15" w:name="_Toc16604"/>
      <w:bookmarkStart w:id="16" w:name="_Toc504988292"/>
      <w:r>
        <w:rPr>
          <w:rFonts w:hint="eastAsia"/>
        </w:rPr>
        <w:t>一、供应商须知附表</w:t>
      </w:r>
      <w:bookmarkEnd w:id="13"/>
      <w:bookmarkEnd w:id="14"/>
      <w:bookmarkEnd w:id="15"/>
      <w:bookmarkEnd w:id="16"/>
    </w:p>
    <w:tbl>
      <w:tblPr>
        <w:tblStyle w:val="44"/>
        <w:tblW w:w="919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70"/>
        <w:gridCol w:w="1388"/>
        <w:gridCol w:w="7237"/>
      </w:tblGrid>
      <w:tr w14:paraId="1FD08F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jc w:val="center"/>
        </w:trPr>
        <w:tc>
          <w:tcPr>
            <w:tcW w:w="570" w:type="dxa"/>
            <w:vAlign w:val="center"/>
          </w:tcPr>
          <w:p w14:paraId="47FF59B0">
            <w:pPr>
              <w:pStyle w:val="71"/>
              <w:spacing w:line="360" w:lineRule="auto"/>
              <w:ind w:left="9"/>
              <w:jc w:val="center"/>
              <w:rPr>
                <w:b/>
                <w:sz w:val="21"/>
                <w:szCs w:val="21"/>
                <w:lang w:val="zh-CN"/>
              </w:rPr>
            </w:pPr>
            <w:r>
              <w:rPr>
                <w:rFonts w:hint="eastAsia"/>
                <w:b/>
                <w:sz w:val="21"/>
                <w:szCs w:val="21"/>
                <w:lang w:val="zh-CN"/>
              </w:rPr>
              <w:t>序号</w:t>
            </w:r>
          </w:p>
        </w:tc>
        <w:tc>
          <w:tcPr>
            <w:tcW w:w="1388" w:type="dxa"/>
            <w:vAlign w:val="center"/>
          </w:tcPr>
          <w:p w14:paraId="19529951">
            <w:pPr>
              <w:pStyle w:val="71"/>
              <w:spacing w:line="360" w:lineRule="auto"/>
              <w:ind w:left="38"/>
              <w:jc w:val="center"/>
              <w:rPr>
                <w:b/>
                <w:sz w:val="21"/>
                <w:szCs w:val="21"/>
                <w:lang w:val="zh-CN"/>
              </w:rPr>
            </w:pPr>
            <w:r>
              <w:rPr>
                <w:rFonts w:hint="eastAsia"/>
                <w:b/>
                <w:sz w:val="21"/>
                <w:szCs w:val="21"/>
                <w:lang w:val="zh-CN"/>
              </w:rPr>
              <w:t>应知事项</w:t>
            </w:r>
          </w:p>
        </w:tc>
        <w:tc>
          <w:tcPr>
            <w:tcW w:w="7237" w:type="dxa"/>
            <w:vAlign w:val="center"/>
          </w:tcPr>
          <w:p w14:paraId="6572C500">
            <w:pPr>
              <w:pStyle w:val="71"/>
              <w:spacing w:line="360" w:lineRule="auto"/>
              <w:jc w:val="center"/>
              <w:rPr>
                <w:b/>
                <w:sz w:val="21"/>
                <w:szCs w:val="21"/>
                <w:lang w:val="zh-CN"/>
              </w:rPr>
            </w:pPr>
            <w:r>
              <w:rPr>
                <w:rFonts w:hint="eastAsia"/>
                <w:b/>
                <w:sz w:val="21"/>
                <w:szCs w:val="21"/>
                <w:lang w:val="zh-CN"/>
              </w:rPr>
              <w:t>说明和要求</w:t>
            </w:r>
          </w:p>
        </w:tc>
      </w:tr>
      <w:tr w14:paraId="06CAB7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7E0A417C">
            <w:pPr>
              <w:pStyle w:val="71"/>
              <w:spacing w:line="360" w:lineRule="auto"/>
              <w:ind w:right="230"/>
              <w:jc w:val="center"/>
              <w:rPr>
                <w:rFonts w:cs="Courier New"/>
                <w:sz w:val="21"/>
                <w:szCs w:val="21"/>
                <w:lang w:val="zh-CN"/>
              </w:rPr>
            </w:pPr>
            <w:r>
              <w:rPr>
                <w:rFonts w:hint="eastAsia" w:cs="Courier New"/>
                <w:sz w:val="21"/>
                <w:szCs w:val="21"/>
                <w:lang w:val="zh-CN"/>
              </w:rPr>
              <w:t>1</w:t>
            </w:r>
          </w:p>
        </w:tc>
        <w:tc>
          <w:tcPr>
            <w:tcW w:w="1388" w:type="dxa"/>
            <w:vAlign w:val="center"/>
          </w:tcPr>
          <w:p w14:paraId="7F2B1EBA">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采购预算（实质性要求）</w:t>
            </w:r>
          </w:p>
        </w:tc>
        <w:tc>
          <w:tcPr>
            <w:tcW w:w="7237" w:type="dxa"/>
            <w:vAlign w:val="center"/>
          </w:tcPr>
          <w:p w14:paraId="3027459F">
            <w:pPr>
              <w:pStyle w:val="71"/>
              <w:spacing w:line="360" w:lineRule="auto"/>
              <w:jc w:val="both"/>
              <w:rPr>
                <w:rFonts w:hint="eastAsia" w:ascii="宋体" w:hAnsi="宋体" w:eastAsia="宋体" w:cs="宋体"/>
                <w:szCs w:val="21"/>
              </w:rPr>
            </w:pPr>
            <w:r>
              <w:rPr>
                <w:rFonts w:hint="eastAsia" w:ascii="宋体" w:hAnsi="宋体" w:eastAsia="宋体" w:cs="宋体"/>
                <w:szCs w:val="21"/>
              </w:rPr>
              <w:t>采购预算：</w:t>
            </w:r>
            <w:r>
              <w:rPr>
                <w:rFonts w:hint="eastAsia" w:cs="宋体"/>
                <w:szCs w:val="21"/>
                <w:lang w:val="en-US" w:eastAsia="zh-CN"/>
              </w:rPr>
              <w:t>10</w:t>
            </w:r>
            <w:r>
              <w:rPr>
                <w:rFonts w:hint="eastAsia" w:ascii="宋体" w:hAnsi="宋体" w:eastAsia="宋体" w:cs="宋体"/>
                <w:szCs w:val="21"/>
                <w:lang w:val="en-US" w:eastAsia="zh-CN"/>
              </w:rPr>
              <w:t>万元</w:t>
            </w:r>
            <w:r>
              <w:rPr>
                <w:rFonts w:hint="eastAsia" w:ascii="宋体" w:hAnsi="宋体" w:eastAsia="宋体" w:cs="宋体"/>
                <w:szCs w:val="21"/>
              </w:rPr>
              <w:t>。</w:t>
            </w:r>
          </w:p>
          <w:p w14:paraId="7B41D37F">
            <w:pPr>
              <w:pStyle w:val="71"/>
              <w:spacing w:line="360" w:lineRule="auto"/>
              <w:jc w:val="both"/>
              <w:rPr>
                <w:rFonts w:hint="default" w:ascii="宋体" w:hAnsi="宋体" w:eastAsia="宋体" w:cs="宋体"/>
                <w:szCs w:val="21"/>
                <w:lang w:val="en-US" w:eastAsia="zh-CN"/>
              </w:rPr>
            </w:pPr>
            <w:r>
              <w:rPr>
                <w:rFonts w:hint="eastAsia" w:cs="宋体"/>
                <w:szCs w:val="21"/>
                <w:lang w:val="en-US" w:eastAsia="zh-CN"/>
              </w:rPr>
              <w:t>本项目实行折扣率报价，即：在书目洋码价基础上的折扣率，折扣率不得高于100%</w:t>
            </w:r>
          </w:p>
        </w:tc>
      </w:tr>
      <w:tr w14:paraId="2D203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230FFC16">
            <w:pPr>
              <w:pStyle w:val="71"/>
              <w:spacing w:line="360" w:lineRule="auto"/>
              <w:ind w:right="230"/>
              <w:jc w:val="center"/>
              <w:rPr>
                <w:rFonts w:cs="Courier New"/>
                <w:sz w:val="21"/>
                <w:szCs w:val="21"/>
                <w:lang w:val="zh-CN"/>
              </w:rPr>
            </w:pPr>
            <w:r>
              <w:rPr>
                <w:rFonts w:hint="eastAsia" w:cs="Courier New"/>
                <w:sz w:val="21"/>
                <w:szCs w:val="21"/>
                <w:lang w:val="zh-CN"/>
              </w:rPr>
              <w:t>2</w:t>
            </w:r>
          </w:p>
        </w:tc>
        <w:tc>
          <w:tcPr>
            <w:tcW w:w="1388" w:type="dxa"/>
            <w:vAlign w:val="center"/>
          </w:tcPr>
          <w:p w14:paraId="1F12EC8D">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最高限价（实质性要求）</w:t>
            </w:r>
          </w:p>
        </w:tc>
        <w:tc>
          <w:tcPr>
            <w:tcW w:w="7237" w:type="dxa"/>
            <w:vAlign w:val="center"/>
          </w:tcPr>
          <w:p w14:paraId="2ABDE291">
            <w:pPr>
              <w:pStyle w:val="71"/>
              <w:spacing w:line="360" w:lineRule="auto"/>
              <w:jc w:val="both"/>
              <w:rPr>
                <w:rFonts w:hint="eastAsia" w:ascii="宋体" w:hAnsi="宋体" w:eastAsia="宋体" w:cs="宋体"/>
                <w:szCs w:val="21"/>
              </w:rPr>
            </w:pPr>
            <w:r>
              <w:rPr>
                <w:rFonts w:hint="eastAsia" w:ascii="宋体" w:hAnsi="宋体" w:eastAsia="宋体" w:cs="宋体"/>
                <w:szCs w:val="21"/>
              </w:rPr>
              <w:t>最高限价</w:t>
            </w:r>
            <w:r>
              <w:rPr>
                <w:rFonts w:hint="eastAsia" w:ascii="宋体" w:hAnsi="宋体" w:eastAsia="宋体" w:cs="宋体"/>
                <w:szCs w:val="21"/>
                <w:lang w:eastAsia="zh-CN"/>
              </w:rPr>
              <w:t>：</w:t>
            </w:r>
            <w:r>
              <w:rPr>
                <w:rFonts w:hint="eastAsia" w:cs="Times New Roman"/>
                <w:color w:val="auto"/>
                <w:kern w:val="1"/>
                <w:szCs w:val="21"/>
                <w:lang w:val="en-US" w:eastAsia="zh-CN"/>
              </w:rPr>
              <w:t>10</w:t>
            </w:r>
            <w:r>
              <w:rPr>
                <w:rFonts w:hint="eastAsia" w:ascii="宋体" w:hAnsi="宋体" w:cs="Times New Roman"/>
                <w:color w:val="auto"/>
                <w:kern w:val="1"/>
                <w:szCs w:val="21"/>
                <w:lang w:val="en-US" w:eastAsia="zh-CN"/>
              </w:rPr>
              <w:t>万元</w:t>
            </w:r>
          </w:p>
          <w:p w14:paraId="6892C414">
            <w:pPr>
              <w:pStyle w:val="71"/>
              <w:spacing w:line="360" w:lineRule="auto"/>
              <w:jc w:val="both"/>
              <w:rPr>
                <w:rFonts w:hint="default" w:ascii="宋体" w:hAnsi="宋体" w:eastAsia="宋体" w:cs="宋体"/>
                <w:szCs w:val="21"/>
                <w:lang w:val="en-US"/>
              </w:rPr>
            </w:pPr>
            <w:r>
              <w:rPr>
                <w:rFonts w:hint="eastAsia" w:cs="宋体"/>
                <w:szCs w:val="21"/>
                <w:lang w:val="en-US" w:eastAsia="zh-CN"/>
              </w:rPr>
              <w:t>本项目实行折扣率报价，即：在书目洋码价基础上的折扣率，折扣率不得高于100%</w:t>
            </w:r>
          </w:p>
        </w:tc>
      </w:tr>
      <w:tr w14:paraId="1A93BA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18E99357">
            <w:pPr>
              <w:pStyle w:val="71"/>
              <w:spacing w:line="360" w:lineRule="auto"/>
              <w:ind w:right="230"/>
              <w:jc w:val="center"/>
              <w:rPr>
                <w:rFonts w:cs="Courier New"/>
                <w:sz w:val="21"/>
                <w:szCs w:val="21"/>
                <w:lang w:val="zh-CN"/>
              </w:rPr>
            </w:pPr>
            <w:r>
              <w:rPr>
                <w:rFonts w:hint="eastAsia" w:cs="Courier New"/>
                <w:sz w:val="21"/>
                <w:szCs w:val="21"/>
                <w:lang w:val="zh-CN"/>
              </w:rPr>
              <w:t>3</w:t>
            </w:r>
          </w:p>
        </w:tc>
        <w:tc>
          <w:tcPr>
            <w:tcW w:w="1388" w:type="dxa"/>
            <w:vAlign w:val="center"/>
          </w:tcPr>
          <w:p w14:paraId="2DA29982">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联合体</w:t>
            </w:r>
          </w:p>
        </w:tc>
        <w:tc>
          <w:tcPr>
            <w:tcW w:w="7237" w:type="dxa"/>
            <w:vAlign w:val="center"/>
          </w:tcPr>
          <w:p w14:paraId="7C648D73">
            <w:pPr>
              <w:pStyle w:val="71"/>
              <w:spacing w:line="360" w:lineRule="auto"/>
              <w:jc w:val="both"/>
              <w:rPr>
                <w:rFonts w:hint="eastAsia" w:ascii="宋体" w:hAnsi="宋体" w:eastAsia="宋体" w:cs="宋体"/>
                <w:szCs w:val="21"/>
                <w:lang w:val="zh-CN"/>
              </w:rPr>
            </w:pPr>
            <w:r>
              <w:rPr>
                <w:rFonts w:hint="eastAsia" w:ascii="宋体" w:hAnsi="宋体" w:eastAsia="宋体" w:cs="宋体"/>
                <w:szCs w:val="21"/>
              </w:rPr>
              <w:t>本次采购不接受联合体参与谈判。</w:t>
            </w:r>
          </w:p>
        </w:tc>
      </w:tr>
      <w:tr w14:paraId="07162A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1259DC30">
            <w:pPr>
              <w:pStyle w:val="71"/>
              <w:spacing w:line="360" w:lineRule="auto"/>
              <w:ind w:right="230"/>
              <w:jc w:val="center"/>
              <w:rPr>
                <w:rFonts w:cs="Courier New"/>
                <w:sz w:val="21"/>
                <w:szCs w:val="21"/>
                <w:lang w:val="zh-CN"/>
              </w:rPr>
            </w:pPr>
            <w:r>
              <w:rPr>
                <w:rFonts w:hint="eastAsia" w:cs="Courier New"/>
                <w:sz w:val="21"/>
                <w:szCs w:val="21"/>
                <w:lang w:val="zh-CN"/>
              </w:rPr>
              <w:t>4</w:t>
            </w:r>
          </w:p>
        </w:tc>
        <w:tc>
          <w:tcPr>
            <w:tcW w:w="1388" w:type="dxa"/>
            <w:vAlign w:val="center"/>
          </w:tcPr>
          <w:p w14:paraId="297506B0">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低于成本价不正当竞争预防措施（实质性要求）</w:t>
            </w:r>
          </w:p>
        </w:tc>
        <w:tc>
          <w:tcPr>
            <w:tcW w:w="7237" w:type="dxa"/>
            <w:vAlign w:val="center"/>
          </w:tcPr>
          <w:p w14:paraId="1936BC1D">
            <w:pPr>
              <w:pStyle w:val="71"/>
              <w:spacing w:line="360" w:lineRule="auto"/>
              <w:jc w:val="both"/>
              <w:rPr>
                <w:rFonts w:hint="eastAsia" w:ascii="宋体" w:hAnsi="宋体" w:eastAsia="宋体" w:cs="宋体"/>
                <w:szCs w:val="21"/>
              </w:rPr>
            </w:pPr>
            <w:r>
              <w:rPr>
                <w:rFonts w:hint="eastAsia" w:ascii="宋体" w:hAnsi="宋体" w:eastAsia="宋体" w:cs="宋体"/>
                <w:szCs w:val="21"/>
              </w:rPr>
              <w:t>1.谈判小组认为报价人的报价明显低于其他通过资格性审查报价人的报价，有可能影响产品质量或者不能诚信履约的，应当要求其在评标现场合理的时间内提供书面说明，必要时提交相关证明材料；报价人不能证明其报价合理性的，谈判小组应当将其作为无效报价处理。</w:t>
            </w:r>
          </w:p>
          <w:p w14:paraId="06D93981">
            <w:pPr>
              <w:pStyle w:val="71"/>
              <w:spacing w:line="360" w:lineRule="auto"/>
              <w:jc w:val="both"/>
              <w:rPr>
                <w:rFonts w:hint="eastAsia" w:ascii="宋体" w:hAnsi="宋体" w:eastAsia="宋体" w:cs="宋体"/>
                <w:szCs w:val="21"/>
              </w:rPr>
            </w:pPr>
            <w:r>
              <w:rPr>
                <w:rFonts w:hint="eastAsia" w:ascii="宋体" w:hAnsi="宋体" w:eastAsia="宋体" w:cs="宋体"/>
                <w:szCs w:val="21"/>
              </w:rPr>
              <w:t>2.供应商的书面说明材料应当按照国家财务会计制度的规定要求，逐项就供应商提供的货物或服务、工程和服务的主营业务成本、税金及附加、销售费用、管理费用、财务费用等成本构成事项详细陈述。</w:t>
            </w:r>
          </w:p>
          <w:p w14:paraId="175CB0B4">
            <w:pPr>
              <w:pStyle w:val="71"/>
              <w:spacing w:line="360" w:lineRule="auto"/>
              <w:jc w:val="both"/>
              <w:rPr>
                <w:rFonts w:hint="eastAsia" w:ascii="宋体" w:hAnsi="宋体" w:eastAsia="宋体" w:cs="宋体"/>
                <w:szCs w:val="21"/>
              </w:rPr>
            </w:pPr>
            <w:r>
              <w:rPr>
                <w:rFonts w:hint="eastAsia" w:ascii="宋体" w:hAnsi="宋体" w:eastAsia="宋体" w:cs="宋体"/>
                <w:szCs w:val="21"/>
              </w:rPr>
              <w:t>3.供应商书面说明应当签字确认或者加盖公章，否则无效。书面说明的签字确认，由其法定代表人/主要负责人/本人或者其授权代表签字确认。</w:t>
            </w:r>
          </w:p>
          <w:p w14:paraId="41469A25">
            <w:pPr>
              <w:pStyle w:val="71"/>
              <w:spacing w:line="360" w:lineRule="auto"/>
              <w:jc w:val="both"/>
              <w:rPr>
                <w:rFonts w:hint="eastAsia" w:ascii="宋体" w:hAnsi="宋体" w:eastAsia="宋体" w:cs="宋体"/>
                <w:szCs w:val="21"/>
                <w:lang w:val="zh-CN"/>
              </w:rPr>
            </w:pPr>
            <w:r>
              <w:rPr>
                <w:rFonts w:hint="eastAsia" w:ascii="宋体" w:hAnsi="宋体" w:eastAsia="宋体" w:cs="宋体"/>
                <w:szCs w:val="21"/>
              </w:rPr>
              <w:t>4.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4210C1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tcBorders>
              <w:top w:val="single" w:color="auto" w:sz="4" w:space="0"/>
            </w:tcBorders>
            <w:vAlign w:val="center"/>
          </w:tcPr>
          <w:p w14:paraId="41B92606">
            <w:pPr>
              <w:autoSpaceDE w:val="0"/>
              <w:autoSpaceDN w:val="0"/>
              <w:adjustRightInd w:val="0"/>
              <w:spacing w:line="360" w:lineRule="auto"/>
              <w:ind w:right="105" w:rightChars="50"/>
              <w:jc w:val="center"/>
              <w:rPr>
                <w:rFonts w:hint="eastAsia" w:eastAsia="宋体" w:cs="Courier New"/>
                <w:szCs w:val="21"/>
                <w:lang w:val="zh-CN" w:eastAsia="zh-CN"/>
              </w:rPr>
            </w:pPr>
            <w:r>
              <w:rPr>
                <w:rFonts w:hint="eastAsia" w:ascii="宋体" w:hAnsi="宋体" w:cs="宋体"/>
                <w:color w:val="000000"/>
                <w:szCs w:val="21"/>
                <w:lang w:val="en-US" w:eastAsia="zh-CN"/>
              </w:rPr>
              <w:t>5</w:t>
            </w:r>
          </w:p>
        </w:tc>
        <w:tc>
          <w:tcPr>
            <w:tcW w:w="1388" w:type="dxa"/>
            <w:tcBorders>
              <w:top w:val="single" w:color="auto" w:sz="4" w:space="0"/>
            </w:tcBorders>
            <w:vAlign w:val="center"/>
          </w:tcPr>
          <w:p w14:paraId="48D5619F">
            <w:pPr>
              <w:pStyle w:val="71"/>
              <w:spacing w:line="360" w:lineRule="auto"/>
              <w:jc w:val="both"/>
              <w:rPr>
                <w:rFonts w:hint="eastAsia" w:ascii="宋体" w:hAnsi="宋体" w:eastAsia="宋体" w:cs="宋体"/>
                <w:szCs w:val="21"/>
                <w:lang w:val="zh-CN"/>
              </w:rPr>
            </w:pPr>
            <w:r>
              <w:rPr>
                <w:rFonts w:hint="eastAsia" w:ascii="宋体" w:hAnsi="宋体" w:eastAsia="宋体" w:cs="宋体"/>
                <w:szCs w:val="21"/>
              </w:rPr>
              <w:t>节能、环保及无线局域网产品政府采购政策</w:t>
            </w:r>
          </w:p>
        </w:tc>
        <w:tc>
          <w:tcPr>
            <w:tcW w:w="7237" w:type="dxa"/>
            <w:tcBorders>
              <w:top w:val="single" w:color="auto" w:sz="4" w:space="0"/>
            </w:tcBorders>
            <w:vAlign w:val="center"/>
          </w:tcPr>
          <w:p w14:paraId="15E70CC2">
            <w:pPr>
              <w:pStyle w:val="71"/>
              <w:spacing w:line="360" w:lineRule="auto"/>
              <w:jc w:val="both"/>
              <w:rPr>
                <w:rFonts w:hint="eastAsia" w:ascii="宋体" w:hAnsi="宋体" w:eastAsia="宋体" w:cs="宋体"/>
                <w:szCs w:val="21"/>
                <w:lang w:eastAsia="zh-CN"/>
              </w:rPr>
            </w:pPr>
            <w:r>
              <w:rPr>
                <w:rFonts w:hint="eastAsia" w:ascii="宋体" w:hAnsi="宋体" w:eastAsia="宋体" w:cs="宋体"/>
                <w:szCs w:val="21"/>
                <w:lang w:eastAsia="zh-CN"/>
              </w:rPr>
              <w:t>本项目不涉及</w:t>
            </w:r>
          </w:p>
        </w:tc>
      </w:tr>
      <w:tr w14:paraId="2AC400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4328D474">
            <w:pPr>
              <w:pStyle w:val="71"/>
              <w:spacing w:line="360" w:lineRule="auto"/>
              <w:ind w:right="230"/>
              <w:jc w:val="center"/>
              <w:rPr>
                <w:rFonts w:hint="eastAsia" w:eastAsia="宋体" w:cs="Courier New"/>
                <w:sz w:val="21"/>
                <w:szCs w:val="21"/>
                <w:lang w:val="zh-CN" w:eastAsia="zh-CN"/>
              </w:rPr>
            </w:pPr>
            <w:r>
              <w:rPr>
                <w:rFonts w:hint="eastAsia" w:cs="Courier New"/>
                <w:sz w:val="21"/>
                <w:szCs w:val="21"/>
                <w:lang w:val="en-US" w:eastAsia="zh-CN"/>
              </w:rPr>
              <w:t>6</w:t>
            </w:r>
          </w:p>
        </w:tc>
        <w:tc>
          <w:tcPr>
            <w:tcW w:w="1388" w:type="dxa"/>
            <w:vAlign w:val="center"/>
          </w:tcPr>
          <w:p w14:paraId="3D594895">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谈判情况公告</w:t>
            </w:r>
          </w:p>
        </w:tc>
        <w:tc>
          <w:tcPr>
            <w:tcW w:w="7237" w:type="dxa"/>
            <w:vAlign w:val="center"/>
          </w:tcPr>
          <w:p w14:paraId="50FCC6D4">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供应商资格审查情况、谈判情况、报价情况、谈判结果等在</w:t>
            </w:r>
            <w:r>
              <w:rPr>
                <w:rFonts w:hint="eastAsia" w:cs="宋体"/>
                <w:szCs w:val="21"/>
                <w:lang w:val="zh-CN"/>
              </w:rPr>
              <w:t>中国招标投标公共服务平台</w:t>
            </w:r>
            <w:r>
              <w:rPr>
                <w:rFonts w:hint="eastAsia" w:ascii="宋体" w:hAnsi="宋体" w:eastAsia="宋体" w:cs="宋体"/>
                <w:szCs w:val="21"/>
                <w:lang w:val="zh-CN"/>
              </w:rPr>
              <w:t>结果公告栏中予以公告。</w:t>
            </w:r>
          </w:p>
        </w:tc>
      </w:tr>
      <w:tr w14:paraId="39791A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7694E05A">
            <w:pPr>
              <w:pStyle w:val="71"/>
              <w:spacing w:line="360" w:lineRule="auto"/>
              <w:ind w:right="230"/>
              <w:jc w:val="center"/>
              <w:rPr>
                <w:rFonts w:hint="default" w:eastAsia="宋体" w:cs="Courier New"/>
                <w:sz w:val="21"/>
                <w:szCs w:val="21"/>
                <w:lang w:val="en-US" w:eastAsia="zh-CN"/>
              </w:rPr>
            </w:pPr>
            <w:r>
              <w:rPr>
                <w:rFonts w:hint="eastAsia" w:cs="Courier New"/>
                <w:sz w:val="21"/>
                <w:szCs w:val="21"/>
                <w:lang w:val="en-US" w:eastAsia="zh-CN"/>
              </w:rPr>
              <w:t>7</w:t>
            </w:r>
          </w:p>
        </w:tc>
        <w:tc>
          <w:tcPr>
            <w:tcW w:w="1388" w:type="dxa"/>
            <w:vAlign w:val="center"/>
          </w:tcPr>
          <w:p w14:paraId="216E02B9">
            <w:pPr>
              <w:pStyle w:val="71"/>
              <w:spacing w:line="360" w:lineRule="auto"/>
              <w:jc w:val="both"/>
              <w:rPr>
                <w:rFonts w:hint="eastAsia" w:ascii="宋体" w:hAnsi="宋体" w:eastAsia="宋体" w:cs="宋体"/>
                <w:szCs w:val="21"/>
                <w:lang w:val="zh-CN"/>
              </w:rPr>
            </w:pPr>
            <w:r>
              <w:rPr>
                <w:rFonts w:hint="eastAsia" w:ascii="宋体" w:hAnsi="宋体" w:eastAsia="宋体" w:cs="宋体"/>
                <w:szCs w:val="21"/>
              </w:rPr>
              <w:t>考察现场、标前答疑会</w:t>
            </w:r>
          </w:p>
        </w:tc>
        <w:tc>
          <w:tcPr>
            <w:tcW w:w="7237" w:type="dxa"/>
            <w:vAlign w:val="center"/>
          </w:tcPr>
          <w:p w14:paraId="491A71B2">
            <w:pPr>
              <w:pStyle w:val="71"/>
              <w:spacing w:line="360" w:lineRule="auto"/>
              <w:jc w:val="both"/>
              <w:rPr>
                <w:rFonts w:hint="eastAsia" w:ascii="宋体" w:hAnsi="宋体" w:eastAsia="宋体" w:cs="宋体"/>
                <w:szCs w:val="21"/>
                <w:lang w:eastAsia="zh-CN"/>
              </w:rPr>
            </w:pPr>
            <w:r>
              <w:rPr>
                <w:rFonts w:hint="eastAsia" w:ascii="宋体" w:hAnsi="宋体" w:eastAsia="宋体" w:cs="宋体"/>
                <w:szCs w:val="21"/>
                <w:lang w:eastAsia="zh-CN"/>
              </w:rPr>
              <w:t>本项目不举行</w:t>
            </w:r>
          </w:p>
        </w:tc>
      </w:tr>
      <w:tr w14:paraId="7E566B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23305EAA">
            <w:pPr>
              <w:pStyle w:val="71"/>
              <w:spacing w:line="360" w:lineRule="auto"/>
              <w:ind w:right="230"/>
              <w:jc w:val="center"/>
              <w:rPr>
                <w:rFonts w:hint="eastAsia" w:eastAsia="宋体" w:cs="Courier New"/>
                <w:sz w:val="21"/>
                <w:szCs w:val="21"/>
                <w:lang w:eastAsia="zh-CN"/>
              </w:rPr>
            </w:pPr>
            <w:r>
              <w:rPr>
                <w:rFonts w:hint="eastAsia" w:cs="Courier New"/>
                <w:sz w:val="21"/>
                <w:szCs w:val="21"/>
                <w:lang w:val="en-US" w:eastAsia="zh-CN"/>
              </w:rPr>
              <w:t>8</w:t>
            </w:r>
          </w:p>
        </w:tc>
        <w:tc>
          <w:tcPr>
            <w:tcW w:w="1388" w:type="dxa"/>
            <w:vAlign w:val="center"/>
          </w:tcPr>
          <w:p w14:paraId="6531F9D0">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谈判保证金</w:t>
            </w:r>
          </w:p>
        </w:tc>
        <w:tc>
          <w:tcPr>
            <w:tcW w:w="7237" w:type="dxa"/>
            <w:vAlign w:val="center"/>
          </w:tcPr>
          <w:p w14:paraId="372D6364">
            <w:pPr>
              <w:pStyle w:val="71"/>
              <w:spacing w:line="360" w:lineRule="auto"/>
              <w:jc w:val="both"/>
              <w:rPr>
                <w:rFonts w:hint="eastAsia" w:ascii="宋体" w:hAnsi="宋体" w:eastAsia="宋体" w:cs="宋体"/>
                <w:szCs w:val="21"/>
              </w:rPr>
            </w:pPr>
            <w:r>
              <w:rPr>
                <w:rFonts w:hint="eastAsia" w:ascii="宋体" w:hAnsi="宋体" w:eastAsia="宋体" w:cs="宋体"/>
                <w:szCs w:val="21"/>
              </w:rPr>
              <w:t>本项目不做要求。</w:t>
            </w:r>
          </w:p>
        </w:tc>
      </w:tr>
      <w:tr w14:paraId="4DE05A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20C93A8F">
            <w:pPr>
              <w:pStyle w:val="71"/>
              <w:spacing w:line="360" w:lineRule="auto"/>
              <w:ind w:right="230"/>
              <w:jc w:val="center"/>
              <w:rPr>
                <w:rFonts w:hint="eastAsia" w:eastAsia="宋体" w:cs="Courier New"/>
                <w:sz w:val="21"/>
                <w:szCs w:val="21"/>
                <w:lang w:val="en-US" w:eastAsia="zh-CN"/>
              </w:rPr>
            </w:pPr>
            <w:r>
              <w:rPr>
                <w:rFonts w:hint="eastAsia" w:cs="Courier New"/>
                <w:sz w:val="21"/>
                <w:szCs w:val="21"/>
                <w:lang w:val="en-US" w:eastAsia="zh-CN"/>
              </w:rPr>
              <w:t>9</w:t>
            </w:r>
          </w:p>
        </w:tc>
        <w:tc>
          <w:tcPr>
            <w:tcW w:w="1388" w:type="dxa"/>
            <w:vAlign w:val="center"/>
          </w:tcPr>
          <w:p w14:paraId="2886FF08">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履约保证金</w:t>
            </w:r>
          </w:p>
        </w:tc>
        <w:tc>
          <w:tcPr>
            <w:tcW w:w="7237" w:type="dxa"/>
            <w:vAlign w:val="center"/>
          </w:tcPr>
          <w:p w14:paraId="53A266FE">
            <w:pPr>
              <w:pStyle w:val="71"/>
              <w:spacing w:line="360" w:lineRule="auto"/>
              <w:jc w:val="both"/>
              <w:rPr>
                <w:rFonts w:hint="default" w:ascii="宋体" w:hAnsi="宋体" w:eastAsia="宋体" w:cs="宋体"/>
                <w:szCs w:val="21"/>
                <w:lang w:val="en-US" w:eastAsia="zh-CN"/>
              </w:rPr>
            </w:pPr>
            <w:r>
              <w:rPr>
                <w:rFonts w:hint="eastAsia" w:cs="宋体"/>
                <w:szCs w:val="21"/>
                <w:lang w:val="en-US" w:eastAsia="zh-CN"/>
              </w:rPr>
              <w:t>本项目不收取履约保证金。</w:t>
            </w:r>
          </w:p>
        </w:tc>
      </w:tr>
      <w:tr w14:paraId="5FA7BD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19797557">
            <w:pPr>
              <w:pStyle w:val="71"/>
              <w:spacing w:line="360" w:lineRule="auto"/>
              <w:ind w:right="230"/>
              <w:jc w:val="center"/>
              <w:rPr>
                <w:rFonts w:hint="default" w:eastAsia="宋体" w:cs="Courier New"/>
                <w:sz w:val="21"/>
                <w:szCs w:val="21"/>
                <w:lang w:val="en-US" w:eastAsia="zh-CN"/>
              </w:rPr>
            </w:pPr>
            <w:r>
              <w:rPr>
                <w:rFonts w:hint="eastAsia" w:cs="Courier New"/>
                <w:sz w:val="21"/>
                <w:szCs w:val="21"/>
                <w:lang w:val="en-US" w:eastAsia="zh-CN"/>
              </w:rPr>
              <w:t>10</w:t>
            </w:r>
          </w:p>
        </w:tc>
        <w:tc>
          <w:tcPr>
            <w:tcW w:w="1388" w:type="dxa"/>
            <w:vAlign w:val="center"/>
          </w:tcPr>
          <w:p w14:paraId="7845F39A">
            <w:pPr>
              <w:pStyle w:val="71"/>
              <w:spacing w:line="360" w:lineRule="auto"/>
              <w:jc w:val="both"/>
              <w:rPr>
                <w:rFonts w:hint="eastAsia" w:ascii="宋体" w:hAnsi="宋体" w:eastAsia="宋体" w:cs="宋体"/>
                <w:szCs w:val="21"/>
                <w:lang w:val="zh-CN"/>
              </w:rPr>
            </w:pPr>
            <w:r>
              <w:rPr>
                <w:rFonts w:hint="eastAsia" w:ascii="宋体" w:hAnsi="宋体" w:eastAsia="宋体" w:cs="宋体"/>
                <w:szCs w:val="21"/>
              </w:rPr>
              <w:t>谈判</w:t>
            </w:r>
            <w:r>
              <w:rPr>
                <w:rFonts w:hint="eastAsia" w:ascii="宋体" w:hAnsi="宋体" w:eastAsia="宋体" w:cs="宋体"/>
                <w:szCs w:val="21"/>
                <w:lang w:val="zh-CN"/>
              </w:rPr>
              <w:t>文件咨询</w:t>
            </w:r>
          </w:p>
        </w:tc>
        <w:tc>
          <w:tcPr>
            <w:tcW w:w="7237" w:type="dxa"/>
            <w:vAlign w:val="center"/>
          </w:tcPr>
          <w:p w14:paraId="35A27B98">
            <w:pPr>
              <w:pStyle w:val="71"/>
              <w:spacing w:line="360" w:lineRule="auto"/>
              <w:jc w:val="both"/>
              <w:rPr>
                <w:rFonts w:hint="eastAsia" w:ascii="宋体" w:hAnsi="宋体" w:eastAsia="宋体" w:cs="宋体"/>
                <w:szCs w:val="21"/>
                <w:lang w:val="en-US" w:eastAsia="zh-CN"/>
              </w:rPr>
            </w:pPr>
            <w:r>
              <w:rPr>
                <w:rFonts w:hint="eastAsia" w:ascii="宋体" w:hAnsi="宋体" w:eastAsia="宋体" w:cs="宋体"/>
                <w:szCs w:val="21"/>
                <w:lang w:val="zh-CN"/>
              </w:rPr>
              <w:t>联系人：</w:t>
            </w:r>
            <w:r>
              <w:rPr>
                <w:rFonts w:hint="eastAsia" w:cs="宋体"/>
                <w:szCs w:val="21"/>
                <w:lang w:val="en-US" w:eastAsia="zh-CN"/>
              </w:rPr>
              <w:t>王健洪</w:t>
            </w:r>
          </w:p>
          <w:p w14:paraId="2DCAD961">
            <w:pPr>
              <w:pStyle w:val="71"/>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zh-CN"/>
              </w:rPr>
              <w:t>联系电话：</w:t>
            </w:r>
            <w:r>
              <w:rPr>
                <w:rFonts w:hint="eastAsia" w:cs="宋体"/>
                <w:szCs w:val="21"/>
                <w:lang w:val="en-US" w:eastAsia="zh-CN"/>
              </w:rPr>
              <w:t>13558883482</w:t>
            </w:r>
          </w:p>
        </w:tc>
      </w:tr>
      <w:tr w14:paraId="05EE44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16CC9683">
            <w:pPr>
              <w:pStyle w:val="71"/>
              <w:spacing w:line="360" w:lineRule="auto"/>
              <w:ind w:right="230"/>
              <w:jc w:val="center"/>
              <w:rPr>
                <w:rFonts w:hint="eastAsia" w:eastAsia="宋体" w:cs="Courier New"/>
                <w:sz w:val="21"/>
                <w:szCs w:val="21"/>
                <w:lang w:val="en-US" w:eastAsia="zh-CN"/>
              </w:rPr>
            </w:pPr>
            <w:r>
              <w:rPr>
                <w:rFonts w:hint="eastAsia" w:cs="Courier New"/>
                <w:sz w:val="21"/>
                <w:szCs w:val="21"/>
                <w:lang w:val="zh-CN"/>
              </w:rPr>
              <w:t>1</w:t>
            </w:r>
            <w:r>
              <w:rPr>
                <w:rFonts w:hint="eastAsia" w:cs="Courier New"/>
                <w:sz w:val="21"/>
                <w:szCs w:val="21"/>
                <w:lang w:val="en-US" w:eastAsia="zh-CN"/>
              </w:rPr>
              <w:t>1</w:t>
            </w:r>
          </w:p>
        </w:tc>
        <w:tc>
          <w:tcPr>
            <w:tcW w:w="1388" w:type="dxa"/>
            <w:vAlign w:val="center"/>
          </w:tcPr>
          <w:p w14:paraId="047E0349">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谈判过程、结果工作咨询</w:t>
            </w:r>
          </w:p>
        </w:tc>
        <w:tc>
          <w:tcPr>
            <w:tcW w:w="7237" w:type="dxa"/>
            <w:vAlign w:val="center"/>
          </w:tcPr>
          <w:p w14:paraId="6F01364E">
            <w:pPr>
              <w:pStyle w:val="71"/>
              <w:spacing w:line="360" w:lineRule="auto"/>
              <w:jc w:val="both"/>
              <w:rPr>
                <w:rFonts w:hint="eastAsia" w:cs="宋体"/>
                <w:szCs w:val="21"/>
                <w:lang w:val="en-US" w:eastAsia="zh-CN"/>
              </w:rPr>
            </w:pPr>
            <w:r>
              <w:rPr>
                <w:rFonts w:hint="eastAsia" w:ascii="宋体" w:hAnsi="宋体" w:eastAsia="宋体" w:cs="宋体"/>
                <w:szCs w:val="21"/>
                <w:lang w:val="zh-CN"/>
              </w:rPr>
              <w:t>联系人：</w:t>
            </w:r>
            <w:r>
              <w:rPr>
                <w:rFonts w:hint="eastAsia" w:cs="宋体"/>
                <w:szCs w:val="21"/>
                <w:lang w:val="en-US" w:eastAsia="zh-CN"/>
              </w:rPr>
              <w:t>邓老师</w:t>
            </w:r>
          </w:p>
          <w:p w14:paraId="1C398783">
            <w:pPr>
              <w:pStyle w:val="71"/>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zh-CN"/>
              </w:rPr>
              <w:t>联系电话：</w:t>
            </w:r>
            <w:r>
              <w:rPr>
                <w:rFonts w:hint="eastAsia" w:cs="宋体"/>
                <w:szCs w:val="21"/>
                <w:lang w:val="en-US" w:eastAsia="zh-CN"/>
              </w:rPr>
              <w:t>17761261230</w:t>
            </w:r>
          </w:p>
          <w:p w14:paraId="3B08CD2B">
            <w:pPr>
              <w:pStyle w:val="71"/>
              <w:spacing w:line="360" w:lineRule="auto"/>
              <w:jc w:val="both"/>
              <w:rPr>
                <w:rFonts w:hint="eastAsia" w:ascii="宋体" w:hAnsi="宋体" w:eastAsia="宋体" w:cs="宋体"/>
                <w:szCs w:val="21"/>
                <w:lang w:val="zh-CN" w:eastAsia="zh-CN"/>
              </w:rPr>
            </w:pPr>
          </w:p>
        </w:tc>
      </w:tr>
      <w:tr w14:paraId="7520B8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6C4D2ADC">
            <w:pPr>
              <w:pStyle w:val="71"/>
              <w:spacing w:line="360" w:lineRule="auto"/>
              <w:ind w:right="230"/>
              <w:jc w:val="center"/>
              <w:rPr>
                <w:rFonts w:hint="eastAsia" w:eastAsia="宋体" w:cs="Courier New"/>
                <w:sz w:val="21"/>
                <w:szCs w:val="21"/>
                <w:lang w:val="en-US" w:eastAsia="zh-CN"/>
              </w:rPr>
            </w:pPr>
            <w:r>
              <w:rPr>
                <w:rFonts w:hint="eastAsia" w:cs="Courier New"/>
                <w:sz w:val="21"/>
                <w:szCs w:val="21"/>
                <w:lang w:val="zh-CN"/>
              </w:rPr>
              <w:t>1</w:t>
            </w:r>
            <w:r>
              <w:rPr>
                <w:rFonts w:hint="eastAsia" w:cs="Courier New"/>
                <w:sz w:val="21"/>
                <w:szCs w:val="21"/>
                <w:lang w:val="en-US" w:eastAsia="zh-CN"/>
              </w:rPr>
              <w:t>2</w:t>
            </w:r>
          </w:p>
        </w:tc>
        <w:tc>
          <w:tcPr>
            <w:tcW w:w="1388" w:type="dxa"/>
            <w:vAlign w:val="center"/>
          </w:tcPr>
          <w:p w14:paraId="2F0044A0">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成交通知书领取</w:t>
            </w:r>
          </w:p>
        </w:tc>
        <w:tc>
          <w:tcPr>
            <w:tcW w:w="7237" w:type="dxa"/>
            <w:vAlign w:val="center"/>
          </w:tcPr>
          <w:p w14:paraId="03664A62">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请成交供应商</w:t>
            </w:r>
            <w:r>
              <w:rPr>
                <w:rFonts w:hint="eastAsia" w:cs="宋体"/>
                <w:szCs w:val="21"/>
                <w:lang w:val="en-US" w:eastAsia="zh-CN"/>
              </w:rPr>
              <w:t>自行前往成都市第二中学校园官方网站查询中标公告</w:t>
            </w:r>
            <w:r>
              <w:rPr>
                <w:rFonts w:hint="eastAsia" w:ascii="宋体" w:hAnsi="宋体" w:eastAsia="宋体" w:cs="宋体"/>
                <w:szCs w:val="21"/>
                <w:lang w:val="zh-CN"/>
              </w:rPr>
              <w:t>。</w:t>
            </w:r>
          </w:p>
          <w:p w14:paraId="68054D33">
            <w:pPr>
              <w:pStyle w:val="71"/>
              <w:spacing w:line="360" w:lineRule="auto"/>
              <w:jc w:val="both"/>
              <w:rPr>
                <w:rFonts w:hint="eastAsia" w:cs="宋体"/>
                <w:szCs w:val="21"/>
                <w:lang w:val="en-US" w:eastAsia="zh-CN"/>
              </w:rPr>
            </w:pPr>
            <w:r>
              <w:rPr>
                <w:rFonts w:hint="eastAsia" w:ascii="宋体" w:hAnsi="宋体" w:eastAsia="宋体" w:cs="宋体"/>
                <w:szCs w:val="21"/>
                <w:lang w:val="zh-CN"/>
              </w:rPr>
              <w:t>联系人：</w:t>
            </w:r>
            <w:r>
              <w:rPr>
                <w:rFonts w:hint="eastAsia" w:cs="宋体"/>
                <w:szCs w:val="21"/>
                <w:lang w:val="en-US" w:eastAsia="zh-CN"/>
              </w:rPr>
              <w:t>邓老师</w:t>
            </w:r>
          </w:p>
          <w:p w14:paraId="70A96EC7">
            <w:pPr>
              <w:pStyle w:val="71"/>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zh-CN"/>
              </w:rPr>
              <w:t>联系电话：</w:t>
            </w:r>
            <w:r>
              <w:rPr>
                <w:rFonts w:hint="eastAsia" w:cs="宋体"/>
                <w:szCs w:val="21"/>
                <w:lang w:val="en-US" w:eastAsia="zh-CN"/>
              </w:rPr>
              <w:t>17761261230</w:t>
            </w:r>
          </w:p>
          <w:p w14:paraId="3812A876">
            <w:pPr>
              <w:pStyle w:val="71"/>
              <w:spacing w:line="360" w:lineRule="auto"/>
              <w:jc w:val="both"/>
              <w:rPr>
                <w:rFonts w:hint="eastAsia" w:ascii="宋体" w:hAnsi="宋体" w:eastAsia="宋体" w:cs="宋体"/>
                <w:szCs w:val="21"/>
                <w:lang w:eastAsia="zh-CN"/>
              </w:rPr>
            </w:pPr>
          </w:p>
        </w:tc>
      </w:tr>
      <w:tr w14:paraId="78A6DC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7C98CA0B">
            <w:pPr>
              <w:pStyle w:val="71"/>
              <w:spacing w:line="360" w:lineRule="auto"/>
              <w:ind w:right="230"/>
              <w:jc w:val="center"/>
              <w:rPr>
                <w:rFonts w:hint="eastAsia" w:eastAsia="宋体" w:cs="Courier New"/>
                <w:sz w:val="21"/>
                <w:szCs w:val="21"/>
                <w:lang w:val="en-US" w:eastAsia="zh-CN"/>
              </w:rPr>
            </w:pPr>
            <w:r>
              <w:rPr>
                <w:rFonts w:hint="eastAsia" w:cs="Courier New"/>
                <w:sz w:val="21"/>
                <w:szCs w:val="21"/>
                <w:lang w:val="zh-CN"/>
              </w:rPr>
              <w:t>1</w:t>
            </w:r>
            <w:r>
              <w:rPr>
                <w:rFonts w:hint="eastAsia" w:cs="Courier New"/>
                <w:sz w:val="21"/>
                <w:szCs w:val="21"/>
                <w:lang w:val="en-US" w:eastAsia="zh-CN"/>
              </w:rPr>
              <w:t>3</w:t>
            </w:r>
          </w:p>
        </w:tc>
        <w:tc>
          <w:tcPr>
            <w:tcW w:w="1388" w:type="dxa"/>
            <w:vAlign w:val="center"/>
          </w:tcPr>
          <w:p w14:paraId="5D8C46CF">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供应商询问</w:t>
            </w:r>
          </w:p>
        </w:tc>
        <w:tc>
          <w:tcPr>
            <w:tcW w:w="7237" w:type="dxa"/>
            <w:vAlign w:val="center"/>
          </w:tcPr>
          <w:p w14:paraId="49A5F8F5">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供应商询问由</w:t>
            </w:r>
            <w:r>
              <w:rPr>
                <w:rFonts w:hint="eastAsia" w:cs="宋体"/>
                <w:szCs w:val="21"/>
                <w:lang w:val="en-US" w:eastAsia="zh-CN"/>
              </w:rPr>
              <w:t>四川省成都市第二中学</w:t>
            </w:r>
            <w:r>
              <w:rPr>
                <w:rFonts w:hint="eastAsia" w:ascii="宋体" w:hAnsi="宋体" w:eastAsia="宋体" w:cs="宋体"/>
                <w:szCs w:val="21"/>
                <w:lang w:val="zh-CN"/>
              </w:rPr>
              <w:t>负责答复。</w:t>
            </w:r>
          </w:p>
          <w:p w14:paraId="15285E04">
            <w:pPr>
              <w:pStyle w:val="71"/>
              <w:spacing w:line="360" w:lineRule="auto"/>
              <w:jc w:val="both"/>
              <w:rPr>
                <w:rFonts w:hint="eastAsia" w:cs="宋体"/>
                <w:szCs w:val="21"/>
                <w:lang w:val="en-US" w:eastAsia="zh-CN"/>
              </w:rPr>
            </w:pPr>
            <w:r>
              <w:rPr>
                <w:rFonts w:hint="eastAsia" w:ascii="宋体" w:hAnsi="宋体" w:eastAsia="宋体" w:cs="宋体"/>
                <w:szCs w:val="21"/>
                <w:lang w:val="zh-CN"/>
              </w:rPr>
              <w:t>联系人：</w:t>
            </w:r>
            <w:r>
              <w:rPr>
                <w:rFonts w:hint="eastAsia" w:cs="宋体"/>
                <w:szCs w:val="21"/>
                <w:lang w:val="en-US" w:eastAsia="zh-CN"/>
              </w:rPr>
              <w:t>邓老师</w:t>
            </w:r>
          </w:p>
          <w:p w14:paraId="35D2773F">
            <w:pPr>
              <w:pStyle w:val="71"/>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zh-CN"/>
              </w:rPr>
              <w:t>联系电话：</w:t>
            </w:r>
            <w:r>
              <w:rPr>
                <w:rFonts w:hint="eastAsia" w:cs="宋体"/>
                <w:szCs w:val="21"/>
                <w:lang w:val="en-US" w:eastAsia="zh-CN"/>
              </w:rPr>
              <w:t>17761261230</w:t>
            </w:r>
          </w:p>
          <w:p w14:paraId="49ECAF12">
            <w:pPr>
              <w:pStyle w:val="71"/>
              <w:spacing w:line="360" w:lineRule="auto"/>
              <w:jc w:val="both"/>
              <w:rPr>
                <w:rFonts w:hint="default" w:ascii="宋体" w:hAnsi="宋体" w:eastAsia="宋体" w:cs="宋体"/>
                <w:szCs w:val="21"/>
                <w:lang w:val="en-US" w:eastAsia="zh-CN"/>
              </w:rPr>
            </w:pPr>
            <w:r>
              <w:rPr>
                <w:rFonts w:hint="eastAsia" w:cs="宋体"/>
                <w:szCs w:val="21"/>
                <w:lang w:val="en-US" w:eastAsia="zh-CN"/>
              </w:rPr>
              <w:t>四川省成都市锦江去红星路一段37号</w:t>
            </w:r>
          </w:p>
        </w:tc>
      </w:tr>
      <w:tr w14:paraId="13C00A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444654C4">
            <w:pPr>
              <w:pStyle w:val="71"/>
              <w:spacing w:line="360" w:lineRule="auto"/>
              <w:ind w:right="230"/>
              <w:jc w:val="center"/>
              <w:rPr>
                <w:rFonts w:hint="eastAsia" w:eastAsia="宋体" w:cs="Courier New"/>
                <w:sz w:val="21"/>
                <w:szCs w:val="21"/>
                <w:lang w:val="en-US" w:eastAsia="zh-CN"/>
              </w:rPr>
            </w:pPr>
            <w:r>
              <w:rPr>
                <w:rFonts w:hint="eastAsia" w:cs="Courier New"/>
                <w:sz w:val="21"/>
                <w:szCs w:val="21"/>
              </w:rPr>
              <w:t>1</w:t>
            </w:r>
            <w:r>
              <w:rPr>
                <w:rFonts w:hint="eastAsia" w:cs="Courier New"/>
                <w:sz w:val="21"/>
                <w:szCs w:val="21"/>
                <w:lang w:val="en-US" w:eastAsia="zh-CN"/>
              </w:rPr>
              <w:t>4</w:t>
            </w:r>
          </w:p>
        </w:tc>
        <w:tc>
          <w:tcPr>
            <w:tcW w:w="1388" w:type="dxa"/>
            <w:vAlign w:val="center"/>
          </w:tcPr>
          <w:p w14:paraId="6BCAF01D">
            <w:pPr>
              <w:pStyle w:val="71"/>
              <w:spacing w:line="360" w:lineRule="auto"/>
              <w:jc w:val="both"/>
              <w:rPr>
                <w:rFonts w:hint="eastAsia" w:ascii="宋体" w:hAnsi="宋体" w:eastAsia="宋体" w:cs="宋体"/>
                <w:szCs w:val="21"/>
                <w:lang w:val="zh-CN"/>
              </w:rPr>
            </w:pPr>
            <w:r>
              <w:rPr>
                <w:rFonts w:hint="eastAsia" w:ascii="宋体" w:hAnsi="宋体" w:eastAsia="宋体" w:cs="宋体"/>
                <w:szCs w:val="21"/>
                <w:lang w:val="zh-CN"/>
              </w:rPr>
              <w:t>供应商质疑</w:t>
            </w:r>
          </w:p>
        </w:tc>
        <w:tc>
          <w:tcPr>
            <w:tcW w:w="7237" w:type="dxa"/>
            <w:vAlign w:val="center"/>
          </w:tcPr>
          <w:p w14:paraId="7A16DB54">
            <w:pPr>
              <w:pStyle w:val="71"/>
              <w:spacing w:line="360" w:lineRule="auto"/>
              <w:jc w:val="both"/>
              <w:rPr>
                <w:rFonts w:hint="eastAsia" w:ascii="宋体" w:hAnsi="宋体" w:eastAsia="宋体" w:cs="宋体"/>
                <w:szCs w:val="21"/>
              </w:rPr>
            </w:pPr>
            <w:r>
              <w:rPr>
                <w:rFonts w:hint="eastAsia" w:ascii="宋体" w:hAnsi="宋体" w:eastAsia="宋体" w:cs="宋体"/>
                <w:szCs w:val="21"/>
              </w:rPr>
              <w:t>对谈判文件的质疑由</w:t>
            </w:r>
            <w:r>
              <w:rPr>
                <w:rFonts w:hint="eastAsia" w:cs="宋体"/>
                <w:szCs w:val="21"/>
                <w:lang w:val="en-US" w:eastAsia="zh-CN"/>
              </w:rPr>
              <w:t>四川省成都市第二中学</w:t>
            </w:r>
            <w:r>
              <w:rPr>
                <w:rFonts w:hint="eastAsia" w:ascii="宋体" w:hAnsi="宋体" w:eastAsia="宋体" w:cs="宋体"/>
                <w:szCs w:val="21"/>
              </w:rPr>
              <w:t>负责答复；对谈判过程的质疑由</w:t>
            </w:r>
            <w:r>
              <w:rPr>
                <w:rFonts w:hint="eastAsia" w:cs="宋体"/>
                <w:szCs w:val="21"/>
                <w:lang w:val="en-US" w:eastAsia="zh-CN"/>
              </w:rPr>
              <w:t>四川省成都市第二中学</w:t>
            </w:r>
            <w:r>
              <w:rPr>
                <w:rFonts w:hint="eastAsia" w:ascii="宋体" w:hAnsi="宋体" w:eastAsia="宋体" w:cs="宋体"/>
                <w:szCs w:val="21"/>
              </w:rPr>
              <w:t>负责答复；对谈判结果的质疑由</w:t>
            </w:r>
            <w:r>
              <w:rPr>
                <w:rFonts w:hint="eastAsia" w:cs="宋体"/>
                <w:szCs w:val="21"/>
                <w:lang w:val="en-US" w:eastAsia="zh-CN"/>
              </w:rPr>
              <w:t>四川省成都市第二中学</w:t>
            </w:r>
            <w:r>
              <w:rPr>
                <w:rFonts w:hint="eastAsia" w:ascii="宋体" w:hAnsi="宋体" w:eastAsia="宋体" w:cs="宋体"/>
                <w:szCs w:val="21"/>
              </w:rPr>
              <w:t>负责答复。</w:t>
            </w:r>
          </w:p>
          <w:p w14:paraId="44A1F39A">
            <w:pPr>
              <w:pStyle w:val="71"/>
              <w:spacing w:line="360" w:lineRule="auto"/>
              <w:jc w:val="both"/>
              <w:rPr>
                <w:rFonts w:hint="eastAsia" w:cs="宋体"/>
                <w:szCs w:val="21"/>
                <w:lang w:val="en-US" w:eastAsia="zh-CN"/>
              </w:rPr>
            </w:pPr>
            <w:r>
              <w:rPr>
                <w:rFonts w:hint="eastAsia" w:ascii="宋体" w:hAnsi="宋体" w:eastAsia="宋体" w:cs="宋体"/>
                <w:szCs w:val="21"/>
                <w:lang w:val="zh-CN"/>
              </w:rPr>
              <w:t>联系人：</w:t>
            </w:r>
            <w:r>
              <w:rPr>
                <w:rFonts w:hint="eastAsia" w:cs="宋体"/>
                <w:szCs w:val="21"/>
                <w:lang w:val="en-US" w:eastAsia="zh-CN"/>
              </w:rPr>
              <w:t>邓老师</w:t>
            </w:r>
          </w:p>
          <w:p w14:paraId="331B3C1C">
            <w:pPr>
              <w:pStyle w:val="71"/>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zh-CN"/>
              </w:rPr>
              <w:t>联系电话：</w:t>
            </w:r>
            <w:r>
              <w:rPr>
                <w:rFonts w:hint="eastAsia" w:cs="宋体"/>
                <w:szCs w:val="21"/>
                <w:lang w:val="en-US" w:eastAsia="zh-CN"/>
              </w:rPr>
              <w:t>17761261230</w:t>
            </w:r>
          </w:p>
          <w:p w14:paraId="40B65666">
            <w:pPr>
              <w:pStyle w:val="71"/>
              <w:spacing w:line="360" w:lineRule="auto"/>
              <w:jc w:val="both"/>
              <w:rPr>
                <w:rFonts w:hint="eastAsia" w:ascii="宋体" w:hAnsi="宋体" w:eastAsia="宋体" w:cs="宋体"/>
                <w:szCs w:val="21"/>
              </w:rPr>
            </w:pPr>
            <w:r>
              <w:rPr>
                <w:rFonts w:hint="eastAsia" w:cs="宋体"/>
                <w:szCs w:val="21"/>
                <w:lang w:val="en-US" w:eastAsia="zh-CN"/>
              </w:rPr>
              <w:t>四川省成都市锦江去红星路一段37号</w:t>
            </w:r>
            <w:r>
              <w:rPr>
                <w:rFonts w:hint="eastAsia" w:ascii="宋体" w:hAnsi="宋体" w:eastAsia="宋体" w:cs="宋体"/>
                <w:szCs w:val="21"/>
              </w:rPr>
              <w:t>注：供应商质疑不得超出谈判文件、谈判过程、谈判结果的范围。</w:t>
            </w:r>
          </w:p>
        </w:tc>
      </w:tr>
      <w:tr w14:paraId="42663A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70" w:type="dxa"/>
            <w:vAlign w:val="center"/>
          </w:tcPr>
          <w:p w14:paraId="28178E2A">
            <w:pPr>
              <w:pStyle w:val="71"/>
              <w:spacing w:line="360" w:lineRule="auto"/>
              <w:ind w:right="230"/>
              <w:jc w:val="center"/>
              <w:rPr>
                <w:rFonts w:hint="default" w:eastAsia="宋体" w:cs="Courier New"/>
                <w:sz w:val="21"/>
                <w:szCs w:val="21"/>
                <w:lang w:val="en-US" w:eastAsia="zh-CN"/>
              </w:rPr>
            </w:pPr>
            <w:r>
              <w:rPr>
                <w:rFonts w:hint="eastAsia" w:cs="Courier New"/>
                <w:sz w:val="21"/>
                <w:szCs w:val="21"/>
                <w:lang w:val="en-US" w:eastAsia="zh-CN"/>
              </w:rPr>
              <w:t>15</w:t>
            </w:r>
          </w:p>
        </w:tc>
        <w:tc>
          <w:tcPr>
            <w:tcW w:w="1388" w:type="dxa"/>
            <w:vAlign w:val="center"/>
          </w:tcPr>
          <w:p w14:paraId="14603753">
            <w:pPr>
              <w:pStyle w:val="71"/>
              <w:spacing w:line="360" w:lineRule="auto"/>
              <w:jc w:val="both"/>
              <w:rPr>
                <w:rFonts w:hint="eastAsia" w:ascii="宋体" w:hAnsi="宋体" w:eastAsia="宋体" w:cs="宋体"/>
                <w:szCs w:val="21"/>
                <w:lang w:val="zh-CN" w:eastAsia="zh-CN"/>
              </w:rPr>
            </w:pPr>
            <w:r>
              <w:rPr>
                <w:rFonts w:hint="eastAsia" w:ascii="宋体" w:hAnsi="宋体" w:eastAsia="宋体" w:cs="宋体"/>
                <w:szCs w:val="21"/>
                <w:lang w:val="zh-CN" w:eastAsia="zh-CN"/>
              </w:rPr>
              <w:t>代理服务费</w:t>
            </w:r>
          </w:p>
        </w:tc>
        <w:tc>
          <w:tcPr>
            <w:tcW w:w="7237" w:type="dxa"/>
            <w:vAlign w:val="center"/>
          </w:tcPr>
          <w:p w14:paraId="41A65E7E">
            <w:pPr>
              <w:pStyle w:val="71"/>
              <w:spacing w:line="360" w:lineRule="auto"/>
              <w:jc w:val="both"/>
              <w:rPr>
                <w:rFonts w:hint="default" w:ascii="宋体" w:hAnsi="宋体" w:eastAsia="宋体" w:cs="宋体"/>
                <w:szCs w:val="21"/>
                <w:lang w:val="en-US" w:eastAsia="zh-CN"/>
              </w:rPr>
            </w:pPr>
            <w:r>
              <w:rPr>
                <w:rFonts w:hint="eastAsia" w:cs="宋体"/>
                <w:szCs w:val="21"/>
                <w:lang w:val="en-US" w:eastAsia="zh-CN"/>
              </w:rPr>
              <w:t>无</w:t>
            </w:r>
          </w:p>
        </w:tc>
      </w:tr>
    </w:tbl>
    <w:p w14:paraId="33E7C75D">
      <w:pPr>
        <w:pStyle w:val="3"/>
        <w:keepNext w:val="0"/>
        <w:keepLines w:val="0"/>
        <w:spacing w:before="0" w:after="0" w:line="360" w:lineRule="auto"/>
        <w:jc w:val="center"/>
        <w:rPr>
          <w:rFonts w:ascii="黑体"/>
          <w:bCs w:val="0"/>
        </w:rPr>
      </w:pPr>
      <w:r>
        <w:rPr>
          <w:rFonts w:ascii="黑体"/>
          <w:bCs w:val="0"/>
        </w:rPr>
        <w:br w:type="page"/>
      </w:r>
      <w:bookmarkStart w:id="17" w:name="_Toc504991338"/>
      <w:bookmarkStart w:id="18" w:name="_Toc504987194"/>
      <w:bookmarkStart w:id="19" w:name="_Toc504988293"/>
      <w:bookmarkStart w:id="20" w:name="_Toc32571"/>
      <w:r>
        <w:rPr>
          <w:rFonts w:hint="eastAsia" w:ascii="黑体"/>
          <w:bCs w:val="0"/>
        </w:rPr>
        <w:t>二、总  则</w:t>
      </w:r>
      <w:bookmarkEnd w:id="17"/>
      <w:bookmarkEnd w:id="18"/>
      <w:bookmarkEnd w:id="19"/>
      <w:bookmarkEnd w:id="20"/>
    </w:p>
    <w:p w14:paraId="1DC3C1BE">
      <w:pPr>
        <w:spacing w:line="360" w:lineRule="auto"/>
        <w:rPr>
          <w:rFonts w:ascii="宋体" w:hAnsi="宋体"/>
          <w:b/>
          <w:sz w:val="24"/>
        </w:rPr>
      </w:pPr>
      <w:bookmarkStart w:id="21" w:name="_Toc183682368"/>
      <w:bookmarkStart w:id="22" w:name="_Toc89075878"/>
      <w:bookmarkStart w:id="23" w:name="_Toc217446056"/>
      <w:bookmarkStart w:id="24" w:name="_Toc183582231"/>
      <w:bookmarkStart w:id="25" w:name="_Toc77400782"/>
      <w:r>
        <w:rPr>
          <w:rFonts w:hint="eastAsia" w:ascii="宋体" w:hAnsi="宋体"/>
          <w:b/>
          <w:sz w:val="24"/>
        </w:rPr>
        <w:t>1</w:t>
      </w:r>
      <w:r>
        <w:rPr>
          <w:rFonts w:ascii="宋体" w:hAnsi="宋体"/>
          <w:b/>
          <w:sz w:val="24"/>
        </w:rPr>
        <w:t>.</w:t>
      </w:r>
      <w:r>
        <w:rPr>
          <w:rFonts w:hint="eastAsia" w:ascii="宋体" w:hAnsi="宋体"/>
          <w:b/>
          <w:sz w:val="24"/>
        </w:rPr>
        <w:t>适用范围</w:t>
      </w:r>
    </w:p>
    <w:p w14:paraId="6969DCC7">
      <w:pPr>
        <w:tabs>
          <w:tab w:val="left" w:pos="7665"/>
        </w:tabs>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本谈判文件仅适用于本次谈判所指采购项目。</w:t>
      </w:r>
    </w:p>
    <w:p w14:paraId="77A90228">
      <w:pPr>
        <w:tabs>
          <w:tab w:val="left" w:pos="7665"/>
        </w:tabs>
        <w:spacing w:line="360" w:lineRule="auto"/>
        <w:ind w:firstLine="480" w:firstLineChars="200"/>
        <w:rPr>
          <w:rFonts w:ascii="宋体" w:hAnsi="宋体"/>
          <w:sz w:val="24"/>
        </w:rPr>
      </w:pPr>
      <w:r>
        <w:rPr>
          <w:rFonts w:hint="eastAsia" w:ascii="宋体" w:hAnsi="宋体"/>
          <w:sz w:val="24"/>
        </w:rPr>
        <w:t>1.2 本谈判文件的解释权归采购人所有。</w:t>
      </w:r>
      <w:bookmarkStart w:id="26" w:name="_Toc183582206"/>
      <w:bookmarkStart w:id="27" w:name="_Toc183682343"/>
      <w:bookmarkStart w:id="28" w:name="_Toc217446035"/>
    </w:p>
    <w:p w14:paraId="39967979">
      <w:pPr>
        <w:spacing w:line="360" w:lineRule="auto"/>
        <w:rPr>
          <w:rFonts w:ascii="宋体" w:hAnsi="宋体"/>
          <w:b/>
          <w:sz w:val="24"/>
        </w:rPr>
      </w:pPr>
      <w:r>
        <w:rPr>
          <w:rFonts w:ascii="宋体" w:hAnsi="宋体"/>
          <w:b/>
          <w:sz w:val="24"/>
        </w:rPr>
        <w:t>2.</w:t>
      </w:r>
      <w:bookmarkEnd w:id="26"/>
      <w:bookmarkEnd w:id="27"/>
      <w:bookmarkEnd w:id="28"/>
      <w:r>
        <w:rPr>
          <w:rFonts w:hint="eastAsia" w:hAnsi="宋体"/>
          <w:b/>
          <w:sz w:val="24"/>
        </w:rPr>
        <w:t xml:space="preserve"> 定义</w:t>
      </w:r>
    </w:p>
    <w:p w14:paraId="2B064BF7">
      <w:pPr>
        <w:spacing w:line="360" w:lineRule="auto"/>
        <w:ind w:firstLine="480" w:firstLineChars="200"/>
        <w:rPr>
          <w:rFonts w:ascii="宋体" w:hAnsi="宋体"/>
          <w:sz w:val="24"/>
          <w:u w:val="single"/>
        </w:rPr>
      </w:pPr>
      <w:r>
        <w:rPr>
          <w:rFonts w:hint="eastAsia" w:ascii="宋体" w:hAnsi="宋体"/>
          <w:sz w:val="24"/>
        </w:rPr>
        <w:t>2</w:t>
      </w:r>
      <w:r>
        <w:rPr>
          <w:rFonts w:ascii="宋体" w:hAnsi="宋体"/>
          <w:sz w:val="24"/>
        </w:rPr>
        <w:t>.</w:t>
      </w:r>
      <w:r>
        <w:rPr>
          <w:rFonts w:hint="eastAsia" w:ascii="宋体" w:hAnsi="宋体"/>
          <w:sz w:val="24"/>
        </w:rPr>
        <w:t>1本次谈判的采购人是</w:t>
      </w:r>
      <w:r>
        <w:rPr>
          <w:rFonts w:hint="eastAsia" w:ascii="宋体" w:hAnsi="宋体"/>
          <w:sz w:val="24"/>
          <w:u w:val="single"/>
          <w:lang w:val="en-US" w:eastAsia="zh-CN"/>
        </w:rPr>
        <w:t>四川省成都市第二中学</w:t>
      </w:r>
      <w:r>
        <w:rPr>
          <w:rFonts w:hint="eastAsia" w:ascii="宋体" w:hAnsi="宋体"/>
          <w:sz w:val="24"/>
        </w:rPr>
        <w:t>。</w:t>
      </w:r>
    </w:p>
    <w:p w14:paraId="38CFD214">
      <w:pPr>
        <w:spacing w:line="360" w:lineRule="auto"/>
        <w:rPr>
          <w:rFonts w:ascii="宋体" w:hAnsi="宋体"/>
          <w:b/>
          <w:sz w:val="24"/>
        </w:rPr>
      </w:pPr>
      <w:bookmarkStart w:id="29" w:name="_Toc183582207"/>
      <w:bookmarkStart w:id="30" w:name="_Toc217446036"/>
      <w:bookmarkStart w:id="31" w:name="_Toc217390843"/>
      <w:bookmarkStart w:id="32" w:name="_Toc183682344"/>
      <w:r>
        <w:rPr>
          <w:rFonts w:ascii="宋体" w:hAnsi="宋体"/>
          <w:b/>
          <w:sz w:val="24"/>
        </w:rPr>
        <w:t>3.</w:t>
      </w:r>
      <w:r>
        <w:rPr>
          <w:rFonts w:hint="eastAsia" w:ascii="宋体" w:hAnsi="宋体"/>
          <w:b/>
          <w:sz w:val="24"/>
        </w:rPr>
        <w:t xml:space="preserve"> 合格</w:t>
      </w:r>
      <w:bookmarkEnd w:id="29"/>
      <w:bookmarkEnd w:id="30"/>
      <w:bookmarkEnd w:id="31"/>
      <w:bookmarkEnd w:id="32"/>
      <w:r>
        <w:rPr>
          <w:rFonts w:hint="eastAsia" w:ascii="宋体" w:hAnsi="宋体"/>
          <w:b/>
          <w:sz w:val="24"/>
        </w:rPr>
        <w:t>供应商（实质性要求）</w:t>
      </w:r>
    </w:p>
    <w:p w14:paraId="3C83986C">
      <w:pPr>
        <w:tabs>
          <w:tab w:val="left" w:pos="7665"/>
        </w:tabs>
        <w:spacing w:line="360" w:lineRule="auto"/>
        <w:rPr>
          <w:rFonts w:ascii="宋体" w:hAnsi="宋体"/>
          <w:sz w:val="24"/>
        </w:rPr>
      </w:pPr>
      <w:r>
        <w:rPr>
          <w:rFonts w:hint="eastAsia" w:ascii="宋体" w:hAnsi="宋体"/>
          <w:b/>
          <w:sz w:val="24"/>
        </w:rPr>
        <w:t xml:space="preserve">    </w:t>
      </w:r>
      <w:r>
        <w:rPr>
          <w:rFonts w:hint="eastAsia" w:ascii="宋体" w:hAnsi="宋体"/>
          <w:sz w:val="24"/>
        </w:rPr>
        <w:t>合格供应商应具备以下条件：</w:t>
      </w:r>
    </w:p>
    <w:p w14:paraId="6C4FD045">
      <w:pPr>
        <w:tabs>
          <w:tab w:val="left" w:pos="7665"/>
        </w:tabs>
        <w:spacing w:line="360" w:lineRule="auto"/>
        <w:ind w:firstLine="480" w:firstLineChars="200"/>
        <w:rPr>
          <w:rFonts w:ascii="宋体" w:hAnsi="宋体"/>
          <w:sz w:val="24"/>
        </w:rPr>
      </w:pPr>
      <w:r>
        <w:rPr>
          <w:rFonts w:hint="eastAsia" w:ascii="宋体" w:hAnsi="宋体"/>
          <w:sz w:val="24"/>
        </w:rPr>
        <w:t>3.1 具备法律法规和本采购文件规定的资格条件；</w:t>
      </w:r>
    </w:p>
    <w:p w14:paraId="24A6167A">
      <w:pPr>
        <w:tabs>
          <w:tab w:val="left" w:pos="7665"/>
        </w:tabs>
        <w:spacing w:line="360" w:lineRule="auto"/>
        <w:ind w:firstLine="480" w:firstLineChars="200"/>
        <w:rPr>
          <w:rFonts w:ascii="宋体" w:hAnsi="宋体"/>
          <w:sz w:val="24"/>
        </w:rPr>
      </w:pPr>
      <w:r>
        <w:rPr>
          <w:rFonts w:hint="eastAsia" w:ascii="宋体" w:hAnsi="宋体"/>
          <w:sz w:val="24"/>
        </w:rPr>
        <w:t>3.2 不属于禁止参加本项目采购活动的供应商；</w:t>
      </w:r>
    </w:p>
    <w:p w14:paraId="49859CAC">
      <w:pPr>
        <w:pStyle w:val="171"/>
        <w:snapToGrid w:val="0"/>
        <w:spacing w:line="360" w:lineRule="auto"/>
        <w:ind w:firstLine="480" w:firstLineChars="200"/>
        <w:rPr>
          <w:rFonts w:hAnsi="宋体"/>
          <w:sz w:val="24"/>
        </w:rPr>
      </w:pPr>
      <w:r>
        <w:rPr>
          <w:rFonts w:hint="eastAsia" w:hAnsi="宋体"/>
          <w:sz w:val="24"/>
        </w:rPr>
        <w:t>3.3按规定获取了谈判文件，属于实质性参加采购活动的供应商。</w:t>
      </w:r>
      <w:bookmarkStart w:id="33" w:name="_Toc183682345"/>
      <w:bookmarkStart w:id="34" w:name="_Toc217446037"/>
      <w:bookmarkStart w:id="35" w:name="_Toc183582208"/>
    </w:p>
    <w:p w14:paraId="2C0AE872">
      <w:pPr>
        <w:pStyle w:val="171"/>
        <w:snapToGrid w:val="0"/>
        <w:spacing w:line="360" w:lineRule="auto"/>
        <w:ind w:firstLine="480" w:firstLineChars="200"/>
        <w:rPr>
          <w:rFonts w:hAnsi="宋体" w:cs="宋体"/>
          <w:color w:val="000000"/>
          <w:kern w:val="2"/>
          <w:sz w:val="24"/>
          <w:szCs w:val="24"/>
        </w:rPr>
      </w:pPr>
      <w:r>
        <w:rPr>
          <w:rFonts w:hint="eastAsia" w:hAnsi="宋体" w:cs="宋体"/>
          <w:color w:val="000000"/>
          <w:kern w:val="2"/>
          <w:sz w:val="24"/>
          <w:szCs w:val="24"/>
        </w:rPr>
        <w:t>3.4有下列情形之一的，视为供应商串通投标，其报价无效：</w:t>
      </w:r>
    </w:p>
    <w:p w14:paraId="5B4DF3D8">
      <w:pPr>
        <w:pStyle w:val="171"/>
        <w:snapToGrid w:val="0"/>
        <w:spacing w:line="360" w:lineRule="auto"/>
        <w:ind w:left="1" w:firstLine="480" w:firstLineChars="200"/>
        <w:rPr>
          <w:rFonts w:hAnsi="宋体"/>
          <w:sz w:val="24"/>
        </w:rPr>
      </w:pPr>
      <w:r>
        <w:rPr>
          <w:rFonts w:hint="eastAsia" w:hAnsi="宋体"/>
          <w:sz w:val="24"/>
        </w:rPr>
        <w:t>（一）不同供应商的响应文件由同一单位或者个人编制;</w:t>
      </w:r>
    </w:p>
    <w:p w14:paraId="4F6D22A3">
      <w:pPr>
        <w:pStyle w:val="171"/>
        <w:snapToGrid w:val="0"/>
        <w:spacing w:line="360" w:lineRule="auto"/>
        <w:ind w:left="1" w:firstLine="480" w:firstLineChars="200"/>
        <w:rPr>
          <w:rFonts w:hAnsi="宋体"/>
          <w:sz w:val="24"/>
        </w:rPr>
      </w:pPr>
      <w:r>
        <w:rPr>
          <w:rFonts w:hint="eastAsia" w:hAnsi="宋体"/>
          <w:sz w:val="24"/>
        </w:rPr>
        <w:t>（二）不同供应商委托同一单位或者个人办理谈判事宜;</w:t>
      </w:r>
    </w:p>
    <w:p w14:paraId="1B0919FD">
      <w:pPr>
        <w:pStyle w:val="171"/>
        <w:snapToGrid w:val="0"/>
        <w:spacing w:line="360" w:lineRule="auto"/>
        <w:ind w:left="1" w:firstLine="480" w:firstLineChars="200"/>
        <w:rPr>
          <w:rFonts w:hAnsi="宋体"/>
          <w:sz w:val="24"/>
        </w:rPr>
      </w:pPr>
      <w:r>
        <w:rPr>
          <w:rFonts w:hint="eastAsia" w:hAnsi="宋体"/>
          <w:sz w:val="24"/>
        </w:rPr>
        <w:t>（三）不同供应商的响应文件载明的项目管理成员或者联系人员为同一人;</w:t>
      </w:r>
    </w:p>
    <w:p w14:paraId="2784F0A9">
      <w:pPr>
        <w:pStyle w:val="171"/>
        <w:snapToGrid w:val="0"/>
        <w:spacing w:line="360" w:lineRule="auto"/>
        <w:ind w:left="1" w:firstLine="480" w:firstLineChars="200"/>
        <w:rPr>
          <w:rFonts w:hAnsi="宋体"/>
          <w:sz w:val="24"/>
        </w:rPr>
      </w:pPr>
      <w:r>
        <w:rPr>
          <w:rFonts w:hint="eastAsia" w:hAnsi="宋体"/>
          <w:sz w:val="24"/>
        </w:rPr>
        <w:t>（四）不同供应商的响应文件异常一致或者报价呈规律性差异;</w:t>
      </w:r>
    </w:p>
    <w:p w14:paraId="5DB8070E">
      <w:pPr>
        <w:pStyle w:val="171"/>
        <w:snapToGrid w:val="0"/>
        <w:spacing w:line="360" w:lineRule="auto"/>
        <w:ind w:left="1" w:firstLine="480" w:firstLineChars="200"/>
        <w:rPr>
          <w:rFonts w:hAnsi="宋体"/>
          <w:sz w:val="24"/>
        </w:rPr>
      </w:pPr>
      <w:r>
        <w:rPr>
          <w:rFonts w:hint="eastAsia" w:hAnsi="宋体"/>
          <w:sz w:val="24"/>
        </w:rPr>
        <w:t>（五）不同供应商的响应文件相互混装;</w:t>
      </w:r>
    </w:p>
    <w:p w14:paraId="6C745AB3">
      <w:pPr>
        <w:spacing w:line="360" w:lineRule="auto"/>
        <w:rPr>
          <w:rFonts w:ascii="宋体" w:hAnsi="宋体"/>
          <w:b/>
          <w:sz w:val="24"/>
        </w:rPr>
      </w:pPr>
      <w:r>
        <w:rPr>
          <w:rFonts w:hint="eastAsia" w:ascii="宋体" w:hAnsi="宋体"/>
          <w:b/>
          <w:sz w:val="24"/>
        </w:rPr>
        <w:t>4. 谈判费用</w:t>
      </w:r>
      <w:bookmarkEnd w:id="33"/>
      <w:bookmarkEnd w:id="34"/>
      <w:bookmarkEnd w:id="35"/>
      <w:r>
        <w:rPr>
          <w:rFonts w:hint="eastAsia" w:ascii="宋体" w:hAnsi="宋体"/>
          <w:b/>
          <w:sz w:val="24"/>
        </w:rPr>
        <w:t>（实质性要求）</w:t>
      </w:r>
    </w:p>
    <w:p w14:paraId="0B37062F">
      <w:pPr>
        <w:pStyle w:val="76"/>
        <w:spacing w:line="360" w:lineRule="auto"/>
        <w:ind w:left="1" w:firstLine="480" w:firstLineChars="200"/>
        <w:rPr>
          <w:rFonts w:hAnsi="宋体"/>
          <w:sz w:val="24"/>
          <w:szCs w:val="24"/>
        </w:rPr>
      </w:pPr>
      <w:r>
        <w:rPr>
          <w:rFonts w:hint="eastAsia" w:hAnsi="宋体"/>
          <w:sz w:val="24"/>
          <w:szCs w:val="24"/>
        </w:rPr>
        <w:t>无论谈判过程中的做法和结果如何，供应商应自行承担参加谈判活动的全部费用。</w:t>
      </w:r>
    </w:p>
    <w:p w14:paraId="44B06071">
      <w:pPr>
        <w:spacing w:line="360" w:lineRule="auto"/>
        <w:rPr>
          <w:rFonts w:ascii="宋体" w:hAnsi="宋体"/>
          <w:b/>
          <w:sz w:val="24"/>
        </w:rPr>
      </w:pPr>
      <w:r>
        <w:rPr>
          <w:rFonts w:hint="eastAsia" w:ascii="宋体" w:hAnsi="宋体"/>
          <w:b/>
          <w:sz w:val="24"/>
        </w:rPr>
        <w:t>5.充分、公平竞争保障措施（实质性要求）</w:t>
      </w:r>
    </w:p>
    <w:p w14:paraId="45417434">
      <w:pPr>
        <w:pStyle w:val="76"/>
        <w:spacing w:line="360" w:lineRule="auto"/>
        <w:ind w:left="1" w:firstLine="480" w:firstLineChars="200"/>
        <w:rPr>
          <w:rFonts w:hAnsi="宋体"/>
          <w:sz w:val="24"/>
        </w:rPr>
      </w:pPr>
      <w:r>
        <w:rPr>
          <w:rFonts w:hint="eastAsia" w:hAnsi="宋体"/>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66606CC5">
      <w:pPr>
        <w:pStyle w:val="76"/>
        <w:spacing w:line="360" w:lineRule="auto"/>
        <w:ind w:left="1" w:firstLine="480" w:firstLineChars="200"/>
        <w:rPr>
          <w:rFonts w:hAnsi="宋体"/>
          <w:sz w:val="24"/>
        </w:rPr>
      </w:pPr>
      <w:r>
        <w:rPr>
          <w:rFonts w:hint="eastAsia" w:hAnsi="宋体"/>
          <w:sz w:val="24"/>
        </w:rPr>
        <w:t>5.2利害关系授权代表处理。两家以上的供应商不得在同一合同项下的采购项目中，委托同一个自然人、同一家庭的人员、同一单位的人员作为其授权代表，否则，其响应文件作为无效处理。</w:t>
      </w:r>
    </w:p>
    <w:p w14:paraId="6283D920">
      <w:pPr>
        <w:pStyle w:val="76"/>
        <w:spacing w:line="360" w:lineRule="auto"/>
        <w:ind w:left="1" w:firstLine="480" w:firstLineChars="200"/>
        <w:rPr>
          <w:rFonts w:hAnsi="宋体"/>
          <w:sz w:val="24"/>
        </w:rPr>
      </w:pPr>
      <w:r>
        <w:rPr>
          <w:rFonts w:hint="eastAsia" w:hAnsi="宋体"/>
          <w:sz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54DA48F0">
      <w:pPr>
        <w:pStyle w:val="76"/>
        <w:spacing w:line="360" w:lineRule="auto"/>
        <w:ind w:left="1" w:firstLine="480" w:firstLineChars="200"/>
        <w:rPr>
          <w:rFonts w:hAnsi="宋体"/>
          <w:sz w:val="24"/>
        </w:rPr>
      </w:pPr>
      <w:r>
        <w:rPr>
          <w:rFonts w:hint="eastAsia" w:hAnsi="宋体"/>
          <w:sz w:val="24"/>
        </w:rPr>
        <w:t>5.4提供相同品牌产品处理。提供相同品牌产品的不同供应商参加同一合同项下的采购项目，以其中通过资格审查且报价最低的供应商参加谈判，报价相同的，由采购人自主采取公平、择优的方式确定一个供应商参见谈判，其他响应无效。</w:t>
      </w:r>
    </w:p>
    <w:p w14:paraId="6C0AD3F6">
      <w:pPr>
        <w:pStyle w:val="76"/>
        <w:spacing w:line="360" w:lineRule="auto"/>
        <w:ind w:firstLine="480" w:firstLineChars="200"/>
        <w:rPr>
          <w:rFonts w:hAnsi="宋体"/>
          <w:b/>
          <w:sz w:val="24"/>
          <w:szCs w:val="24"/>
        </w:rPr>
      </w:pPr>
      <w:r>
        <w:rPr>
          <w:rFonts w:hint="eastAsia" w:hAnsi="宋体"/>
          <w:sz w:val="24"/>
        </w:rPr>
        <w:t>非单一产品采购项目中，多家供应商提供的部分或所有核心产品品牌相同的，视为提供相同品牌产品。</w:t>
      </w:r>
    </w:p>
    <w:p w14:paraId="73189ECD">
      <w:pPr>
        <w:pStyle w:val="76"/>
        <w:spacing w:line="360" w:lineRule="auto"/>
        <w:ind w:left="1" w:firstLine="480" w:firstLineChars="200"/>
        <w:rPr>
          <w:rFonts w:hAnsi="宋体"/>
          <w:sz w:val="24"/>
        </w:rPr>
      </w:pPr>
      <w:r>
        <w:rPr>
          <w:rFonts w:hint="eastAsia" w:hAnsi="宋体"/>
          <w:sz w:val="24"/>
        </w:rPr>
        <w:t>5.5供应商实际控制人或者中高级管理人员，同时是</w:t>
      </w:r>
      <w:r>
        <w:rPr>
          <w:rFonts w:hint="eastAsia" w:hAnsi="宋体"/>
          <w:sz w:val="24"/>
          <w:lang w:val="en-US" w:eastAsia="zh-CN"/>
        </w:rPr>
        <w:t>四川省成都市第二中学</w:t>
      </w:r>
      <w:r>
        <w:rPr>
          <w:rFonts w:hint="eastAsia" w:hAnsi="宋体"/>
          <w:sz w:val="24"/>
        </w:rPr>
        <w:t>工作人员不得参与本项目采购活动。</w:t>
      </w:r>
    </w:p>
    <w:p w14:paraId="5C52E9B9">
      <w:pPr>
        <w:spacing w:line="360" w:lineRule="auto"/>
        <w:ind w:firstLine="480" w:firstLineChars="200"/>
        <w:rPr>
          <w:rFonts w:ascii="宋体" w:hAnsi="宋体" w:cs="宋体"/>
          <w:sz w:val="24"/>
        </w:rPr>
      </w:pPr>
      <w:r>
        <w:rPr>
          <w:rFonts w:hint="eastAsia" w:ascii="宋体" w:hAnsi="宋体" w:cs="宋体"/>
          <w:sz w:val="24"/>
        </w:rPr>
        <w:t>5.6同一母公司的两家以上的子公司只能组成联合体参加本项目同一合同项下的采购活动，不得以不同供应商身份同时参加本项目同一合同项下的采购活动。</w:t>
      </w:r>
    </w:p>
    <w:p w14:paraId="27668E0A">
      <w:pPr>
        <w:pStyle w:val="76"/>
        <w:spacing w:line="360" w:lineRule="auto"/>
        <w:ind w:left="1" w:firstLine="480" w:firstLineChars="200"/>
        <w:rPr>
          <w:rFonts w:hAnsi="宋体"/>
          <w:sz w:val="24"/>
        </w:rPr>
      </w:pPr>
      <w:r>
        <w:rPr>
          <w:rFonts w:hint="eastAsia" w:hAnsi="宋体"/>
          <w:sz w:val="24"/>
        </w:rPr>
        <w:t>5.</w:t>
      </w:r>
      <w:r>
        <w:rPr>
          <w:rFonts w:hint="eastAsia" w:hAnsi="宋体"/>
          <w:sz w:val="24"/>
          <w:lang w:val="en-US" w:eastAsia="zh-CN"/>
        </w:rPr>
        <w:t>7</w:t>
      </w:r>
      <w:r>
        <w:rPr>
          <w:rFonts w:hint="eastAsia" w:hAnsi="宋体"/>
          <w:sz w:val="24"/>
        </w:rPr>
        <w:t>回避。政府采购活动中，采购人员及相关人员与供应商有下列利害关系之一的，应当回避：</w:t>
      </w:r>
    </w:p>
    <w:p w14:paraId="31AA159D">
      <w:pPr>
        <w:pStyle w:val="76"/>
        <w:spacing w:line="360" w:lineRule="auto"/>
        <w:ind w:left="1" w:firstLine="480" w:firstLineChars="200"/>
        <w:rPr>
          <w:rFonts w:hAnsi="宋体"/>
          <w:sz w:val="24"/>
        </w:rPr>
      </w:pPr>
      <w:r>
        <w:rPr>
          <w:rFonts w:hint="eastAsia" w:hAnsi="宋体"/>
          <w:sz w:val="24"/>
        </w:rPr>
        <w:t>（1）参加采购活动前3年内与供应商存在劳动关系；</w:t>
      </w:r>
    </w:p>
    <w:p w14:paraId="2C91B20D">
      <w:pPr>
        <w:pStyle w:val="76"/>
        <w:spacing w:line="360" w:lineRule="auto"/>
        <w:ind w:left="1" w:firstLine="480" w:firstLineChars="200"/>
        <w:rPr>
          <w:rFonts w:hAnsi="宋体"/>
          <w:sz w:val="24"/>
        </w:rPr>
      </w:pPr>
      <w:r>
        <w:rPr>
          <w:rFonts w:hint="eastAsia" w:hAnsi="宋体"/>
          <w:sz w:val="24"/>
        </w:rPr>
        <w:t>（2）参加采购活动前3年内担任供应商的董事、监事；</w:t>
      </w:r>
    </w:p>
    <w:p w14:paraId="1C9B4DBB">
      <w:pPr>
        <w:pStyle w:val="76"/>
        <w:spacing w:line="360" w:lineRule="auto"/>
        <w:ind w:left="1" w:firstLine="480" w:firstLineChars="200"/>
        <w:rPr>
          <w:rFonts w:hAnsi="宋体"/>
          <w:sz w:val="24"/>
        </w:rPr>
      </w:pPr>
      <w:r>
        <w:rPr>
          <w:rFonts w:hint="eastAsia" w:hAnsi="宋体"/>
          <w:sz w:val="24"/>
        </w:rPr>
        <w:t>（3）参加采购活动前3年内是供应商的控股股东或者实际控制人；</w:t>
      </w:r>
    </w:p>
    <w:p w14:paraId="785C0EE1">
      <w:pPr>
        <w:pStyle w:val="76"/>
        <w:spacing w:line="360" w:lineRule="auto"/>
        <w:ind w:left="1" w:firstLine="480" w:firstLineChars="200"/>
        <w:rPr>
          <w:rFonts w:hAnsi="宋体"/>
          <w:sz w:val="24"/>
        </w:rPr>
      </w:pPr>
      <w:r>
        <w:rPr>
          <w:rFonts w:hint="eastAsia" w:hAnsi="宋体"/>
          <w:sz w:val="24"/>
        </w:rPr>
        <w:t>（4）与供应商的法定代表人或者负责人有夫妻、直系血亲、三代以内旁系血亲或者近姻亲关系；</w:t>
      </w:r>
    </w:p>
    <w:p w14:paraId="3EF969C5">
      <w:pPr>
        <w:pStyle w:val="76"/>
        <w:spacing w:line="360" w:lineRule="auto"/>
        <w:ind w:left="1" w:firstLine="480" w:firstLineChars="200"/>
        <w:rPr>
          <w:rFonts w:hAnsi="宋体"/>
          <w:sz w:val="24"/>
        </w:rPr>
      </w:pPr>
      <w:r>
        <w:rPr>
          <w:rFonts w:hint="eastAsia" w:hAnsi="宋体"/>
          <w:sz w:val="24"/>
        </w:rPr>
        <w:t>（5）与供应商有其他可能影响政府采购活动公平、公正进行的关系。</w:t>
      </w:r>
    </w:p>
    <w:p w14:paraId="324518EA">
      <w:pPr>
        <w:pStyle w:val="76"/>
        <w:spacing w:line="360" w:lineRule="auto"/>
        <w:ind w:left="1" w:firstLine="480" w:firstLineChars="200"/>
        <w:rPr>
          <w:rFonts w:hAnsi="宋体"/>
          <w:sz w:val="24"/>
        </w:rPr>
      </w:pPr>
      <w:r>
        <w:rPr>
          <w:rFonts w:hint="eastAsia" w:hAnsi="宋体"/>
          <w:sz w:val="24"/>
        </w:rPr>
        <w:t>本项目政府采购活动中需要依法回避的采购人员是指采购人内部负责采购项目的具体经办工作人员和直接分管采购项目的负责人。本项目采购活动中需要依法回避的相关人员是指谈判小组成员。</w:t>
      </w:r>
    </w:p>
    <w:p w14:paraId="364D3020">
      <w:pPr>
        <w:pStyle w:val="105"/>
        <w:spacing w:line="360" w:lineRule="auto"/>
        <w:ind w:left="1" w:firstLine="480" w:firstLineChars="200"/>
        <w:rPr>
          <w:rFonts w:hAnsi="宋体"/>
          <w:sz w:val="24"/>
        </w:rPr>
      </w:pPr>
      <w:r>
        <w:rPr>
          <w:rFonts w:hint="eastAsia" w:hAnsi="宋体"/>
          <w:sz w:val="24"/>
        </w:rPr>
        <w:t>供应商认为采购人员及相关人员与其他供应商有利害关系的，可以向</w:t>
      </w:r>
      <w:r>
        <w:rPr>
          <w:rFonts w:hint="eastAsia" w:hAnsi="宋体"/>
          <w:sz w:val="24"/>
          <w:lang w:val="en-US" w:eastAsia="zh-CN"/>
        </w:rPr>
        <w:t>成都市第二中学</w:t>
      </w:r>
      <w:r>
        <w:rPr>
          <w:rFonts w:hint="eastAsia" w:hAnsi="宋体"/>
          <w:sz w:val="24"/>
        </w:rPr>
        <w:t>书面提出回避申请，并说明理由。</w:t>
      </w:r>
      <w:r>
        <w:rPr>
          <w:rFonts w:hint="eastAsia" w:hAnsi="宋体"/>
          <w:sz w:val="24"/>
          <w:lang w:val="en-US" w:eastAsia="zh-CN"/>
        </w:rPr>
        <w:t>四川省成都市第二中学将</w:t>
      </w:r>
      <w:r>
        <w:rPr>
          <w:rFonts w:hint="eastAsia" w:hAnsi="宋体"/>
          <w:sz w:val="24"/>
        </w:rPr>
        <w:t>及时询问被申请回避人员，有利害关系的被申请回避人员应当回避。</w:t>
      </w:r>
    </w:p>
    <w:p w14:paraId="01029E27">
      <w:pPr>
        <w:spacing w:line="360" w:lineRule="auto"/>
        <w:rPr>
          <w:rFonts w:ascii="宋体" w:hAnsi="宋体"/>
          <w:b/>
          <w:sz w:val="24"/>
        </w:rPr>
      </w:pPr>
      <w:r>
        <w:rPr>
          <w:rFonts w:hint="eastAsia" w:ascii="宋体" w:hAnsi="宋体"/>
          <w:b/>
          <w:sz w:val="24"/>
        </w:rPr>
        <w:t>6.联合体竞争性谈判（实质性要求）</w:t>
      </w:r>
    </w:p>
    <w:p w14:paraId="495153D4">
      <w:pPr>
        <w:pStyle w:val="105"/>
        <w:spacing w:line="360" w:lineRule="auto"/>
        <w:ind w:left="1" w:firstLine="480" w:firstLineChars="200"/>
        <w:rPr>
          <w:rFonts w:hAnsi="宋体"/>
          <w:sz w:val="24"/>
        </w:rPr>
      </w:pPr>
      <w:r>
        <w:rPr>
          <w:rFonts w:hint="eastAsia" w:hAnsi="宋体"/>
          <w:sz w:val="24"/>
        </w:rPr>
        <w:t>本项目不接受联合体参与采购活动。</w:t>
      </w:r>
    </w:p>
    <w:p w14:paraId="402C35AB">
      <w:pPr>
        <w:spacing w:line="360" w:lineRule="auto"/>
        <w:ind w:firstLine="470" w:firstLineChars="196"/>
        <w:rPr>
          <w:rFonts w:ascii="宋体" w:hAnsi="宋体"/>
          <w:sz w:val="24"/>
        </w:rPr>
      </w:pPr>
    </w:p>
    <w:p w14:paraId="6CD8000A">
      <w:pPr>
        <w:spacing w:line="360" w:lineRule="auto"/>
        <w:rPr>
          <w:rFonts w:ascii="宋体" w:hAnsi="宋体"/>
          <w:b/>
          <w:sz w:val="24"/>
        </w:rPr>
      </w:pPr>
      <w:r>
        <w:rPr>
          <w:rFonts w:hint="eastAsia" w:ascii="宋体" w:hAnsi="宋体"/>
          <w:b/>
          <w:sz w:val="24"/>
          <w:lang w:val="en-US" w:eastAsia="zh-CN"/>
        </w:rPr>
        <w:t>7</w:t>
      </w:r>
      <w:r>
        <w:rPr>
          <w:rFonts w:hint="eastAsia" w:ascii="宋体" w:hAnsi="宋体"/>
          <w:b/>
          <w:sz w:val="24"/>
        </w:rPr>
        <w:t>.响应文件有效期（实质性要求）</w:t>
      </w:r>
    </w:p>
    <w:p w14:paraId="6330588A">
      <w:pPr>
        <w:spacing w:line="360" w:lineRule="auto"/>
        <w:ind w:firstLine="470" w:firstLineChars="196"/>
        <w:rPr>
          <w:rFonts w:ascii="宋体" w:hAnsi="宋体"/>
          <w:sz w:val="24"/>
        </w:rPr>
      </w:pPr>
      <w:r>
        <w:rPr>
          <w:rFonts w:hint="eastAsia" w:ascii="宋体" w:hAnsi="宋体"/>
          <w:sz w:val="24"/>
        </w:rPr>
        <w:t>本项目响应文件有效期为递交谈判响应文件截止之日起60天。供应商响应文件中必须载明响应文件有效期，响应文件中载明的响应文件有效期可以长于谈判文件规定的期限，但不得短于谈判文件规定的期限。否则，其响应文件将作为无效响应处理。</w:t>
      </w:r>
    </w:p>
    <w:p w14:paraId="5DE4BEFC">
      <w:pPr>
        <w:spacing w:line="360" w:lineRule="auto"/>
        <w:rPr>
          <w:rFonts w:ascii="宋体" w:hAnsi="宋体"/>
          <w:b/>
          <w:sz w:val="24"/>
        </w:rPr>
      </w:pPr>
      <w:r>
        <w:rPr>
          <w:rFonts w:hint="eastAsia" w:ascii="宋体" w:hAnsi="宋体"/>
          <w:b/>
          <w:sz w:val="24"/>
          <w:lang w:val="en-US" w:eastAsia="zh-CN"/>
        </w:rPr>
        <w:t>8</w:t>
      </w:r>
      <w:r>
        <w:rPr>
          <w:rFonts w:hint="eastAsia" w:ascii="宋体" w:hAnsi="宋体"/>
          <w:b/>
          <w:sz w:val="24"/>
        </w:rPr>
        <w:t>.知识产权（实质性要求）</w:t>
      </w:r>
    </w:p>
    <w:p w14:paraId="7925F1DF">
      <w:pPr>
        <w:pStyle w:val="18"/>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ascii="宋体" w:hAnsi="宋体"/>
          <w:sz w:val="24"/>
          <w:szCs w:val="24"/>
        </w:rPr>
        <w:t>.1</w:t>
      </w:r>
      <w:r>
        <w:rPr>
          <w:rFonts w:hint="eastAsia" w:ascii="宋体" w:hAnsi="宋体"/>
          <w:sz w:val="24"/>
          <w:szCs w:val="24"/>
        </w:rPr>
        <w:t xml:space="preserve"> </w:t>
      </w:r>
      <w:r>
        <w:rPr>
          <w:rFonts w:hint="eastAsia" w:ascii="宋体" w:hAnsi="宋体"/>
          <w:sz w:val="24"/>
        </w:rPr>
        <w:t>供应商</w:t>
      </w:r>
      <w:r>
        <w:rPr>
          <w:rFonts w:hint="eastAsia" w:ascii="宋体" w:hAnsi="宋体"/>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sz w:val="24"/>
        </w:rPr>
        <w:t>供应商</w:t>
      </w:r>
      <w:r>
        <w:rPr>
          <w:rFonts w:hint="eastAsia" w:ascii="宋体" w:hAnsi="宋体"/>
          <w:sz w:val="24"/>
          <w:szCs w:val="24"/>
        </w:rPr>
        <w:t>承担所有相关责任。</w:t>
      </w:r>
    </w:p>
    <w:p w14:paraId="7716E49E">
      <w:pPr>
        <w:pStyle w:val="18"/>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ascii="宋体" w:hAnsi="宋体"/>
          <w:sz w:val="24"/>
          <w:szCs w:val="24"/>
        </w:rPr>
        <w:t>.2</w:t>
      </w:r>
      <w:r>
        <w:rPr>
          <w:rFonts w:hint="eastAsia" w:ascii="宋体" w:hAnsi="宋体"/>
          <w:sz w:val="24"/>
          <w:szCs w:val="24"/>
        </w:rPr>
        <w:t xml:space="preserve"> 除非谈判文件特别规定，采购人享有本项目实施过程中产生的知识成果及知识产权。</w:t>
      </w:r>
    </w:p>
    <w:p w14:paraId="0CC18C4B">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.3</w:t>
      </w:r>
      <w:r>
        <w:rPr>
          <w:rFonts w:hint="eastAsia" w:ascii="宋体" w:hAnsi="宋体"/>
          <w:sz w:val="24"/>
        </w:rPr>
        <w:t xml:space="preserve">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3560D50E">
      <w:pPr>
        <w:spacing w:line="360" w:lineRule="auto"/>
        <w:ind w:firstLine="460" w:firstLineChars="192"/>
        <w:rPr>
          <w:rFonts w:ascii="宋体" w:hAnsi="宋体"/>
          <w:sz w:val="24"/>
        </w:rPr>
      </w:pPr>
      <w:r>
        <w:rPr>
          <w:rFonts w:hint="eastAsia" w:ascii="宋体" w:hAnsi="宋体"/>
          <w:sz w:val="24"/>
          <w:lang w:val="en-US" w:eastAsia="zh-CN"/>
        </w:rPr>
        <w:t>8</w:t>
      </w:r>
      <w:r>
        <w:rPr>
          <w:rFonts w:ascii="宋体" w:hAnsi="宋体"/>
          <w:sz w:val="24"/>
        </w:rPr>
        <w:t>.4</w:t>
      </w:r>
      <w:r>
        <w:rPr>
          <w:rFonts w:hint="eastAsia" w:ascii="宋体" w:hAnsi="宋体"/>
          <w:sz w:val="24"/>
        </w:rPr>
        <w:t xml:space="preserve"> 如采用供应商所不拥有的知识产权，则在报价中必须包括合法获取该知识产权的相关费用。</w:t>
      </w:r>
      <w:bookmarkStart w:id="36" w:name="_Toc217446038"/>
      <w:bookmarkStart w:id="37" w:name="_Toc183582209"/>
      <w:bookmarkStart w:id="38" w:name="_Toc89075875"/>
      <w:bookmarkStart w:id="39" w:name="_Toc77400779"/>
      <w:bookmarkStart w:id="40" w:name="_Toc183682346"/>
    </w:p>
    <w:p w14:paraId="259701FA">
      <w:pPr>
        <w:pStyle w:val="3"/>
        <w:keepNext w:val="0"/>
        <w:keepLines w:val="0"/>
        <w:spacing w:before="0" w:after="0" w:line="360" w:lineRule="auto"/>
        <w:jc w:val="center"/>
        <w:rPr>
          <w:rFonts w:ascii="黑体"/>
          <w:bCs w:val="0"/>
        </w:rPr>
      </w:pPr>
      <w:bookmarkStart w:id="41" w:name="_Toc504987195"/>
      <w:bookmarkStart w:id="42" w:name="_Toc1688"/>
      <w:bookmarkStart w:id="43" w:name="_Toc504988294"/>
      <w:bookmarkStart w:id="44" w:name="_Toc504991339"/>
      <w:bookmarkStart w:id="45" w:name="_Toc504988022"/>
      <w:r>
        <w:rPr>
          <w:rFonts w:hint="eastAsia" w:ascii="黑体"/>
          <w:bCs w:val="0"/>
        </w:rPr>
        <w:t>三、谈判文件</w:t>
      </w:r>
      <w:bookmarkEnd w:id="36"/>
      <w:bookmarkEnd w:id="37"/>
      <w:bookmarkEnd w:id="38"/>
      <w:bookmarkEnd w:id="39"/>
      <w:bookmarkEnd w:id="40"/>
      <w:bookmarkEnd w:id="41"/>
      <w:bookmarkEnd w:id="42"/>
      <w:bookmarkEnd w:id="43"/>
      <w:bookmarkEnd w:id="44"/>
      <w:bookmarkEnd w:id="45"/>
      <w:bookmarkStart w:id="46" w:name="_Toc183682347"/>
      <w:bookmarkStart w:id="47" w:name="_Toc183582210"/>
      <w:bookmarkStart w:id="48" w:name="_Toc217446039"/>
    </w:p>
    <w:p w14:paraId="79D72F36">
      <w:pPr>
        <w:spacing w:line="360" w:lineRule="auto"/>
        <w:rPr>
          <w:rFonts w:ascii="宋体" w:hAnsi="宋体"/>
          <w:b/>
          <w:sz w:val="24"/>
        </w:rPr>
      </w:pPr>
      <w:r>
        <w:rPr>
          <w:rFonts w:hint="eastAsia" w:ascii="宋体" w:hAnsi="宋体"/>
          <w:b/>
          <w:sz w:val="24"/>
          <w:lang w:val="en-US" w:eastAsia="zh-CN"/>
        </w:rPr>
        <w:t>9</w:t>
      </w:r>
      <w:r>
        <w:rPr>
          <w:rFonts w:hint="eastAsia" w:ascii="宋体" w:hAnsi="宋体"/>
          <w:b/>
          <w:sz w:val="24"/>
        </w:rPr>
        <w:t>．谈判文件的构成</w:t>
      </w:r>
      <w:bookmarkEnd w:id="46"/>
      <w:bookmarkEnd w:id="47"/>
      <w:bookmarkEnd w:id="48"/>
      <w:r>
        <w:rPr>
          <w:rFonts w:hint="eastAsia" w:ascii="宋体" w:hAnsi="宋体"/>
          <w:b/>
          <w:sz w:val="24"/>
        </w:rPr>
        <w:t>（实质性要求）</w:t>
      </w:r>
    </w:p>
    <w:p w14:paraId="11567674">
      <w:pPr>
        <w:tabs>
          <w:tab w:val="left" w:pos="720"/>
        </w:tabs>
        <w:spacing w:line="360" w:lineRule="auto"/>
        <w:ind w:firstLine="480" w:firstLineChars="200"/>
        <w:rPr>
          <w:rFonts w:ascii="宋体" w:hAnsi="宋体"/>
          <w:sz w:val="24"/>
        </w:rPr>
      </w:pPr>
      <w:r>
        <w:rPr>
          <w:rFonts w:hint="eastAsia" w:ascii="宋体" w:hAnsi="宋体"/>
          <w:sz w:val="24"/>
          <w:lang w:val="en-US" w:eastAsia="zh-CN"/>
        </w:rPr>
        <w:t>9</w:t>
      </w:r>
      <w:r>
        <w:rPr>
          <w:rFonts w:ascii="宋体" w:hAnsi="宋体"/>
          <w:b/>
          <w:bCs/>
          <w:sz w:val="24"/>
        </w:rPr>
        <w:t>.</w:t>
      </w:r>
      <w:r>
        <w:rPr>
          <w:rFonts w:hint="eastAsia" w:ascii="宋体" w:hAnsi="宋体"/>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14:paraId="15448999">
      <w:pPr>
        <w:tabs>
          <w:tab w:val="left" w:pos="7665"/>
        </w:tabs>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b/>
          <w:bCs/>
          <w:sz w:val="24"/>
        </w:rPr>
        <w:t>.</w:t>
      </w:r>
      <w:r>
        <w:rPr>
          <w:rFonts w:hint="eastAsia" w:ascii="宋体" w:hAnsi="宋体"/>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9" w:name="_Toc183682348"/>
      <w:bookmarkStart w:id="50" w:name="_Toc183582211"/>
      <w:bookmarkStart w:id="51" w:name="_Toc217446040"/>
    </w:p>
    <w:p w14:paraId="1992EED3">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0</w:t>
      </w:r>
      <w:r>
        <w:rPr>
          <w:rFonts w:hint="eastAsia" w:ascii="宋体" w:hAnsi="宋体"/>
          <w:b/>
          <w:sz w:val="24"/>
        </w:rPr>
        <w:t>. 谈判文件的澄清</w:t>
      </w:r>
      <w:bookmarkEnd w:id="49"/>
      <w:bookmarkEnd w:id="50"/>
      <w:r>
        <w:rPr>
          <w:rFonts w:hint="eastAsia" w:ascii="宋体" w:hAnsi="宋体"/>
          <w:b/>
          <w:sz w:val="24"/>
        </w:rPr>
        <w:t>和修改</w:t>
      </w:r>
      <w:bookmarkEnd w:id="51"/>
    </w:p>
    <w:p w14:paraId="78CB9350">
      <w:pPr>
        <w:tabs>
          <w:tab w:val="left" w:pos="72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.1 在递交响应文件截止时间前，采购人可以对谈判文件进行澄清或者修改。</w:t>
      </w:r>
    </w:p>
    <w:p w14:paraId="63DA762D">
      <w:pPr>
        <w:tabs>
          <w:tab w:val="left" w:pos="72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 xml:space="preserve">.2 </w:t>
      </w:r>
      <w:r>
        <w:rPr>
          <w:rFonts w:hint="eastAsia" w:ascii="宋体" w:hAnsi="宋体"/>
          <w:sz w:val="24"/>
          <w:lang w:val="en-US" w:eastAsia="zh-CN"/>
        </w:rPr>
        <w:t>采购人</w:t>
      </w:r>
      <w:r>
        <w:rPr>
          <w:rFonts w:hint="eastAsia" w:ascii="宋体" w:hAnsi="宋体"/>
          <w:sz w:val="24"/>
        </w:rPr>
        <w:t>对已发出的谈判文件进行澄清或者修改，应当以书面形式将澄清或者修改的内容通知所有购买了谈判文件的供应商。该澄清或者修改的内容为谈判文件的组成部分，澄清或者修改的内容可能影响响应文件编制的，采购人书面通知供应商的时间，应当在</w:t>
      </w:r>
      <w:r>
        <w:rPr>
          <w:rFonts w:hint="eastAsia" w:ascii="宋体" w:hAnsi="宋体" w:cs="宋体"/>
          <w:sz w:val="24"/>
        </w:rPr>
        <w:t>提交</w:t>
      </w:r>
      <w:r>
        <w:rPr>
          <w:rFonts w:hint="eastAsia" w:ascii="宋体" w:hAnsi="宋体"/>
          <w:sz w:val="24"/>
        </w:rPr>
        <w:t>首次响应文件截止之日起3个工作日前；不足上述时间的，应当顺延递交响应文件的截止时间。</w:t>
      </w:r>
    </w:p>
    <w:p w14:paraId="5694C5D0">
      <w:pPr>
        <w:tabs>
          <w:tab w:val="left" w:pos="72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.3供应商认为采购人需要对谈判文件进行澄清或者修改的，可以在提交首次响应文件截止之日起3个工作日前以书面形式向采购人提出申请，由采购人决定是否采纳供应商的申请事项。</w:t>
      </w:r>
    </w:p>
    <w:p w14:paraId="6166FA71">
      <w:pPr>
        <w:spacing w:line="360" w:lineRule="auto"/>
        <w:rPr>
          <w:rFonts w:ascii="宋体" w:hAnsi="宋体"/>
          <w:b/>
          <w:sz w:val="24"/>
        </w:rPr>
      </w:pPr>
      <w:bookmarkStart w:id="52" w:name="_Toc208848971"/>
      <w:bookmarkStart w:id="53" w:name="_Toc217446041"/>
      <w:r>
        <w:rPr>
          <w:rFonts w:hint="eastAsia" w:ascii="宋体" w:hAnsi="宋体"/>
          <w:b/>
          <w:sz w:val="24"/>
        </w:rPr>
        <w:t>1</w:t>
      </w:r>
      <w:r>
        <w:rPr>
          <w:rFonts w:hint="eastAsia" w:ascii="宋体" w:hAnsi="宋体"/>
          <w:b/>
          <w:sz w:val="24"/>
          <w:lang w:val="en-US" w:eastAsia="zh-CN"/>
        </w:rPr>
        <w:t>1</w:t>
      </w:r>
      <w:r>
        <w:rPr>
          <w:rFonts w:hint="eastAsia" w:ascii="宋体" w:hAnsi="宋体"/>
          <w:b/>
          <w:sz w:val="24"/>
        </w:rPr>
        <w:t>. 答疑会和现场考察</w:t>
      </w:r>
      <w:bookmarkEnd w:id="52"/>
      <w:bookmarkEnd w:id="53"/>
    </w:p>
    <w:p w14:paraId="6F48B5CA">
      <w:pPr>
        <w:adjustRightInd w:val="0"/>
        <w:snapToGrid w:val="0"/>
        <w:spacing w:line="360" w:lineRule="auto"/>
        <w:ind w:firstLine="420" w:firstLineChars="175"/>
        <w:rPr>
          <w:rFonts w:ascii="宋体" w:hAnsi="宋体"/>
          <w:sz w:val="24"/>
        </w:rPr>
      </w:pPr>
      <w:bookmarkStart w:id="54" w:name="_Toc89075876"/>
      <w:bookmarkStart w:id="55" w:name="_Toc217446042"/>
      <w:bookmarkStart w:id="56" w:name="_Toc77400780"/>
      <w:bookmarkStart w:id="57" w:name="_Toc183682351"/>
      <w:bookmarkStart w:id="58" w:name="_Toc183582214"/>
      <w:r>
        <w:rPr>
          <w:rFonts w:hint="eastAsia" w:ascii="宋体" w:hAnsi="宋体"/>
          <w:sz w:val="24"/>
        </w:rPr>
        <w:t>本项目不组织。</w:t>
      </w:r>
    </w:p>
    <w:p w14:paraId="57BA26AD">
      <w:pPr>
        <w:pStyle w:val="3"/>
        <w:keepNext w:val="0"/>
        <w:keepLines w:val="0"/>
        <w:spacing w:before="0" w:after="0" w:line="360" w:lineRule="auto"/>
        <w:jc w:val="center"/>
        <w:rPr>
          <w:rFonts w:ascii="黑体"/>
          <w:bCs w:val="0"/>
        </w:rPr>
      </w:pPr>
      <w:bookmarkStart w:id="59" w:name="_Toc504991340"/>
      <w:bookmarkStart w:id="60" w:name="_Toc504987196"/>
      <w:bookmarkStart w:id="61" w:name="_Toc10374"/>
      <w:bookmarkStart w:id="62" w:name="_Toc504988295"/>
      <w:r>
        <w:rPr>
          <w:rFonts w:hint="eastAsia" w:ascii="黑体"/>
          <w:bCs w:val="0"/>
        </w:rPr>
        <w:t>四、响应文件</w:t>
      </w:r>
      <w:bookmarkEnd w:id="54"/>
      <w:bookmarkEnd w:id="55"/>
      <w:bookmarkEnd w:id="56"/>
      <w:bookmarkEnd w:id="57"/>
      <w:bookmarkEnd w:id="58"/>
      <w:bookmarkEnd w:id="59"/>
      <w:bookmarkEnd w:id="60"/>
      <w:bookmarkEnd w:id="61"/>
      <w:bookmarkEnd w:id="62"/>
      <w:bookmarkStart w:id="63" w:name="_Toc217446043"/>
      <w:bookmarkStart w:id="64" w:name="_Toc183582215"/>
      <w:bookmarkStart w:id="65" w:name="_Toc183682352"/>
    </w:p>
    <w:p w14:paraId="5559F939">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2</w:t>
      </w:r>
      <w:r>
        <w:rPr>
          <w:rFonts w:hint="eastAsia" w:ascii="宋体" w:hAnsi="宋体"/>
          <w:b/>
          <w:sz w:val="24"/>
        </w:rPr>
        <w:t>.响应文件的组成（实质性要求）</w:t>
      </w:r>
    </w:p>
    <w:p w14:paraId="40F33FE2">
      <w:pPr>
        <w:spacing w:line="360" w:lineRule="auto"/>
        <w:ind w:firstLine="480" w:firstLineChars="200"/>
        <w:rPr>
          <w:rFonts w:ascii="宋体" w:hAnsi="宋体"/>
          <w:sz w:val="24"/>
        </w:rPr>
      </w:pPr>
      <w:r>
        <w:rPr>
          <w:rFonts w:hint="eastAsia" w:ascii="宋体" w:hAnsi="宋体"/>
          <w:sz w:val="24"/>
        </w:rPr>
        <w:t>供应商应按照谈判文件的规定和要求编制响应文件。供应商在成交后将成交项目的非主体、非关键性工作分包他人完成的，应当在响应文件中载明或谈判过程中澄清。供应商编写的响应文件应包括资格性响应文件、技术、服务性响应文件和最终报价函三部分，其中资格性响应文件、技术、服务性响应文件应分册装订，最终报价函应密封提交；供应商需现场填写最后报价的，应自行准备密封袋。</w:t>
      </w:r>
    </w:p>
    <w:p w14:paraId="6897E64D">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3</w:t>
      </w:r>
      <w:r>
        <w:rPr>
          <w:rFonts w:hint="eastAsia" w:ascii="宋体" w:hAnsi="宋体"/>
          <w:b/>
          <w:sz w:val="24"/>
        </w:rPr>
        <w:t>.响应文件的语言</w:t>
      </w:r>
      <w:bookmarkEnd w:id="63"/>
      <w:bookmarkEnd w:id="64"/>
      <w:bookmarkEnd w:id="65"/>
      <w:r>
        <w:rPr>
          <w:rFonts w:hint="eastAsia" w:ascii="宋体" w:hAnsi="宋体"/>
          <w:b/>
          <w:sz w:val="24"/>
        </w:rPr>
        <w:t>（实质性要求）</w:t>
      </w:r>
    </w:p>
    <w:p w14:paraId="7072C638">
      <w:pPr>
        <w:spacing w:line="360" w:lineRule="auto"/>
        <w:ind w:firstLine="480" w:firstLineChars="200"/>
        <w:rPr>
          <w:rFonts w:ascii="宋体" w:hAnsi="宋体"/>
          <w:sz w:val="24"/>
        </w:rPr>
      </w:pPr>
      <w:r>
        <w:rPr>
          <w:rFonts w:hint="eastAsia" w:ascii="宋体" w:hAnsi="宋体"/>
          <w:sz w:val="24"/>
        </w:rPr>
        <w:t>14.1</w:t>
      </w:r>
      <w:r>
        <w:rPr>
          <w:rFonts w:hint="eastAsia"/>
          <w:sz w:val="24"/>
        </w:rPr>
        <w:t xml:space="preserve"> </w:t>
      </w:r>
      <w:r>
        <w:rPr>
          <w:rFonts w:hint="eastAsia" w:ascii="宋体" w:hAnsi="宋体"/>
          <w:sz w:val="24"/>
        </w:rPr>
        <w:t>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2C52A30">
      <w:pPr>
        <w:spacing w:line="360" w:lineRule="auto"/>
        <w:ind w:firstLine="480" w:firstLineChars="200"/>
        <w:rPr>
          <w:rFonts w:ascii="宋体" w:hAnsi="宋体"/>
          <w:sz w:val="24"/>
        </w:rPr>
      </w:pPr>
      <w:r>
        <w:rPr>
          <w:rFonts w:hint="eastAsia" w:ascii="宋体" w:hAnsi="宋体"/>
          <w:sz w:val="24"/>
        </w:rPr>
        <w:t>14.2 翻译的中文资料与外文资料如果出现差异和矛盾，以中文为准。但不能故意错误翻译，否则，供应商的响应文件将作为无效处理。</w:t>
      </w:r>
      <w:bookmarkStart w:id="66" w:name="_Toc183582216"/>
      <w:bookmarkStart w:id="67" w:name="_Toc183682353"/>
      <w:bookmarkStart w:id="68" w:name="_Toc217446044"/>
    </w:p>
    <w:p w14:paraId="656FFE2D">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4</w:t>
      </w:r>
      <w:r>
        <w:rPr>
          <w:rFonts w:hint="eastAsia" w:ascii="宋体" w:hAnsi="宋体"/>
          <w:b/>
          <w:sz w:val="24"/>
        </w:rPr>
        <w:t>．计量单位</w:t>
      </w:r>
      <w:bookmarkEnd w:id="66"/>
      <w:bookmarkEnd w:id="67"/>
      <w:bookmarkEnd w:id="68"/>
      <w:r>
        <w:rPr>
          <w:rFonts w:hint="eastAsia" w:ascii="宋体" w:hAnsi="宋体"/>
          <w:b/>
          <w:sz w:val="24"/>
        </w:rPr>
        <w:t>（实质性要求）</w:t>
      </w:r>
    </w:p>
    <w:p w14:paraId="237D1018">
      <w:pPr>
        <w:spacing w:line="360" w:lineRule="auto"/>
        <w:ind w:firstLine="470" w:firstLineChars="196"/>
        <w:rPr>
          <w:rFonts w:ascii="宋体" w:hAnsi="宋体"/>
          <w:sz w:val="24"/>
        </w:rPr>
      </w:pPr>
      <w:r>
        <w:rPr>
          <w:rFonts w:hint="eastAsia" w:ascii="宋体" w:hAnsi="宋体"/>
          <w:sz w:val="24"/>
          <w:lang w:val="en-US" w:eastAsia="zh-CN"/>
        </w:rPr>
        <w:t>按照采购人指定范围书目的洋码价格集中报送折扣率，精确到小数点后两位</w:t>
      </w:r>
      <w:r>
        <w:rPr>
          <w:rFonts w:hint="eastAsia" w:ascii="宋体" w:hAnsi="宋体"/>
          <w:sz w:val="24"/>
        </w:rPr>
        <w:t>。</w:t>
      </w:r>
      <w:bookmarkStart w:id="69" w:name="_Toc217446045"/>
    </w:p>
    <w:p w14:paraId="7AF45CE5">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5</w:t>
      </w:r>
      <w:r>
        <w:rPr>
          <w:rFonts w:hint="eastAsia" w:ascii="宋体" w:hAnsi="宋体"/>
          <w:b/>
          <w:sz w:val="24"/>
        </w:rPr>
        <w:t>. 报价货币（实质性要求）</w:t>
      </w:r>
    </w:p>
    <w:p w14:paraId="6824EE57">
      <w:pPr>
        <w:spacing w:line="360" w:lineRule="auto"/>
        <w:ind w:firstLine="468" w:firstLineChars="195"/>
        <w:rPr>
          <w:rFonts w:ascii="宋体" w:hAnsi="宋体"/>
          <w:bCs/>
          <w:sz w:val="24"/>
        </w:rPr>
      </w:pPr>
      <w:r>
        <w:rPr>
          <w:rFonts w:hint="eastAsia" w:ascii="宋体" w:hAnsi="宋体"/>
          <w:bCs/>
          <w:sz w:val="24"/>
        </w:rPr>
        <w:t>本次</w:t>
      </w:r>
      <w:r>
        <w:rPr>
          <w:rFonts w:hint="eastAsia" w:ascii="宋体" w:hAnsi="宋体"/>
          <w:sz w:val="24"/>
        </w:rPr>
        <w:t>谈判</w:t>
      </w:r>
      <w:r>
        <w:rPr>
          <w:rFonts w:hint="eastAsia" w:ascii="宋体" w:hAnsi="宋体"/>
          <w:bCs/>
          <w:sz w:val="24"/>
        </w:rPr>
        <w:t>项目的</w:t>
      </w:r>
      <w:r>
        <w:rPr>
          <w:rFonts w:hint="eastAsia" w:ascii="宋体" w:hAnsi="宋体"/>
          <w:sz w:val="24"/>
        </w:rPr>
        <w:t>报价</w:t>
      </w:r>
      <w:r>
        <w:rPr>
          <w:rFonts w:hint="eastAsia" w:ascii="宋体" w:hAnsi="宋体"/>
          <w:sz w:val="24"/>
          <w:lang w:val="en-US" w:eastAsia="zh-CN"/>
        </w:rPr>
        <w:t>形式</w:t>
      </w:r>
      <w:r>
        <w:rPr>
          <w:rFonts w:hint="eastAsia" w:ascii="宋体" w:hAnsi="宋体"/>
          <w:sz w:val="24"/>
        </w:rPr>
        <w:t>为</w:t>
      </w:r>
      <w:r>
        <w:rPr>
          <w:rFonts w:hint="eastAsia" w:ascii="宋体" w:hAnsi="宋体"/>
          <w:bCs/>
          <w:sz w:val="24"/>
          <w:lang w:val="en-US" w:eastAsia="zh-CN"/>
        </w:rPr>
        <w:t>折扣率</w:t>
      </w:r>
      <w:r>
        <w:rPr>
          <w:rFonts w:hint="eastAsia" w:ascii="宋体" w:hAnsi="宋体"/>
          <w:bCs/>
          <w:sz w:val="24"/>
        </w:rPr>
        <w:t>，</w:t>
      </w:r>
      <w:r>
        <w:rPr>
          <w:rFonts w:hint="eastAsia" w:ascii="宋体" w:hAnsi="宋体"/>
          <w:bCs/>
          <w:sz w:val="24"/>
          <w:lang w:val="en-US" w:eastAsia="zh-CN"/>
        </w:rPr>
        <w:t>不涉及货币报价</w:t>
      </w:r>
      <w:r>
        <w:rPr>
          <w:rFonts w:hint="eastAsia" w:ascii="宋体" w:hAnsi="宋体"/>
          <w:bCs/>
          <w:sz w:val="24"/>
        </w:rPr>
        <w:t>。</w:t>
      </w:r>
    </w:p>
    <w:bookmarkEnd w:id="69"/>
    <w:p w14:paraId="5E7A9AA5">
      <w:pPr>
        <w:spacing w:line="360" w:lineRule="auto"/>
        <w:rPr>
          <w:rFonts w:ascii="宋体" w:hAnsi="宋体"/>
          <w:b/>
          <w:sz w:val="24"/>
        </w:rPr>
      </w:pPr>
      <w:r>
        <w:rPr>
          <w:rFonts w:hint="eastAsia" w:ascii="宋体" w:hAnsi="宋体"/>
          <w:b/>
          <w:sz w:val="24"/>
        </w:rPr>
        <w:t>1</w:t>
      </w:r>
      <w:r>
        <w:rPr>
          <w:rFonts w:hint="eastAsia" w:ascii="宋体" w:hAnsi="宋体"/>
          <w:b/>
          <w:sz w:val="24"/>
          <w:lang w:val="en-US" w:eastAsia="zh-CN"/>
        </w:rPr>
        <w:t>6</w:t>
      </w:r>
      <w:r>
        <w:rPr>
          <w:rFonts w:hint="eastAsia" w:ascii="宋体" w:hAnsi="宋体"/>
          <w:b/>
          <w:sz w:val="24"/>
        </w:rPr>
        <w:t>.响应文件格式</w:t>
      </w:r>
    </w:p>
    <w:p w14:paraId="756F079E">
      <w:pPr>
        <w:spacing w:line="360" w:lineRule="auto"/>
        <w:ind w:left="2" w:leftChars="1" w:firstLine="480" w:firstLineChars="200"/>
        <w:rPr>
          <w:rFonts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.1 供应商应执行谈判文件第六章的规定要求。</w:t>
      </w:r>
    </w:p>
    <w:p w14:paraId="4D5361B7">
      <w:pPr>
        <w:spacing w:line="360" w:lineRule="auto"/>
        <w:ind w:left="2" w:leftChars="1" w:firstLine="480" w:firstLineChars="200"/>
        <w:rPr>
          <w:rFonts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.2 对于没有格式要求的谈判文件由供应商自行编写。</w:t>
      </w:r>
    </w:p>
    <w:p w14:paraId="4C953D31">
      <w:pPr>
        <w:spacing w:line="360" w:lineRule="auto"/>
        <w:rPr>
          <w:rFonts w:ascii="宋体" w:hAnsi="宋体"/>
          <w:b/>
          <w:sz w:val="24"/>
        </w:rPr>
      </w:pPr>
      <w:bookmarkStart w:id="70" w:name="_Toc217446051"/>
      <w:bookmarkStart w:id="71" w:name="_Toc183682361"/>
      <w:bookmarkStart w:id="72" w:name="_Toc183582224"/>
      <w:r>
        <w:rPr>
          <w:rFonts w:hint="eastAsia" w:ascii="宋体" w:hAnsi="宋体"/>
          <w:b/>
          <w:sz w:val="24"/>
        </w:rPr>
        <w:t>1</w:t>
      </w:r>
      <w:r>
        <w:rPr>
          <w:rFonts w:hint="eastAsia" w:ascii="宋体" w:hAnsi="宋体"/>
          <w:b/>
          <w:sz w:val="24"/>
          <w:lang w:val="en-US" w:eastAsia="zh-CN"/>
        </w:rPr>
        <w:t>7</w:t>
      </w:r>
      <w:r>
        <w:rPr>
          <w:rFonts w:hint="eastAsia" w:ascii="宋体" w:hAnsi="宋体"/>
          <w:b/>
          <w:sz w:val="24"/>
        </w:rPr>
        <w:t>.响应文件的编制和签署</w:t>
      </w:r>
    </w:p>
    <w:p w14:paraId="48F5AD54">
      <w:pPr>
        <w:spacing w:line="360" w:lineRule="auto"/>
        <w:ind w:firstLine="470" w:firstLineChars="196"/>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.1 资格性响应文件正本1份副本</w:t>
      </w:r>
      <w:r>
        <w:rPr>
          <w:rFonts w:hint="eastAsia" w:ascii="宋体" w:hAnsi="宋体"/>
          <w:sz w:val="24"/>
          <w:lang w:val="en-US" w:eastAsia="zh-CN"/>
        </w:rPr>
        <w:t>1</w:t>
      </w:r>
      <w:r>
        <w:rPr>
          <w:rFonts w:hint="eastAsia" w:ascii="宋体" w:hAnsi="宋体"/>
          <w:sz w:val="24"/>
        </w:rPr>
        <w:t>份，并在其封面上清楚地标明资格性响应文件、采购项目名称、采购项目编号、包件号及名称（若有）、供应商名称以及“正本”或“副本”字样。若正本和副本有不一致的内容，以正本书面响应文件为准。</w:t>
      </w:r>
    </w:p>
    <w:p w14:paraId="5D100FC4">
      <w:pPr>
        <w:spacing w:line="360" w:lineRule="auto"/>
        <w:ind w:firstLine="470" w:firstLineChars="196"/>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.2技术、服务性响应文件正本1份副本</w:t>
      </w:r>
      <w:r>
        <w:rPr>
          <w:rFonts w:hint="eastAsia" w:ascii="宋体" w:hAnsi="宋体"/>
          <w:sz w:val="24"/>
          <w:lang w:val="en-US" w:eastAsia="zh-CN"/>
        </w:rPr>
        <w:t>1</w:t>
      </w:r>
      <w:r>
        <w:rPr>
          <w:rFonts w:hint="eastAsia" w:ascii="宋体" w:hAnsi="宋体"/>
          <w:sz w:val="24"/>
        </w:rPr>
        <w:t>份，并在其封面上清楚地标明技术、服务性响应文件、采购项目名称、采购项目编号、包件号及名称（若有）、供应商名称以及“正本”或“副本”字样。若正本和副本有不一致的内容，以正本书面响应文件为准。</w:t>
      </w:r>
    </w:p>
    <w:p w14:paraId="19A8D8B1">
      <w:pPr>
        <w:spacing w:line="360" w:lineRule="auto"/>
        <w:ind w:firstLine="470" w:firstLineChars="196"/>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.3最终报价函应密封提交；供应商需现场填写最后报价的，应自行准备密封袋。</w:t>
      </w:r>
    </w:p>
    <w:bookmarkEnd w:id="70"/>
    <w:bookmarkEnd w:id="71"/>
    <w:bookmarkEnd w:id="72"/>
    <w:p w14:paraId="3824D7E4">
      <w:pPr>
        <w:tabs>
          <w:tab w:val="left" w:pos="1095"/>
        </w:tabs>
        <w:spacing w:line="360" w:lineRule="auto"/>
        <w:ind w:firstLine="460" w:firstLineChars="192"/>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.4 响应文件正本和副本均需打印或用不褪色、不变质的墨水书写，并在规定签章处签字和盖章。响应文件副本可采用正本的复印件。</w:t>
      </w:r>
    </w:p>
    <w:p w14:paraId="1851C835">
      <w:pPr>
        <w:tabs>
          <w:tab w:val="left" w:pos="1095"/>
        </w:tabs>
        <w:spacing w:line="360" w:lineRule="auto"/>
        <w:ind w:firstLine="460" w:firstLineChars="192"/>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.5响应文件的打印和书写应清楚工整，任何行间插字、涂改或增删，必须由供应商的法定代表人或其授权代表签字并盖供应商公章。字迹潦草、表达不清或可能导致非唯一理解的响应文件可能被作为无效处理。</w:t>
      </w:r>
    </w:p>
    <w:p w14:paraId="5F4EFB58">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.6</w:t>
      </w:r>
      <w:r>
        <w:rPr>
          <w:rFonts w:hint="eastAsia" w:ascii="宋体" w:hAnsi="宋体"/>
          <w:b/>
          <w:sz w:val="24"/>
        </w:rPr>
        <w:t>（实质性要求）</w:t>
      </w:r>
      <w:r>
        <w:rPr>
          <w:rFonts w:hint="eastAsia" w:ascii="宋体" w:hAnsi="宋体"/>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BBEC705">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.7响应文件正本和副本需要逐页编目编码。</w:t>
      </w:r>
    </w:p>
    <w:p w14:paraId="06FA4F6B">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.8</w:t>
      </w:r>
      <w:r>
        <w:rPr>
          <w:rFonts w:hint="eastAsia" w:ascii="宋体" w:hAnsi="宋体"/>
          <w:b/>
          <w:sz w:val="24"/>
        </w:rPr>
        <w:t>（实质性要求）</w:t>
      </w:r>
      <w:r>
        <w:rPr>
          <w:rFonts w:hint="eastAsia" w:ascii="宋体" w:hAnsi="宋体"/>
          <w:sz w:val="24"/>
        </w:rPr>
        <w:t>响应文件正本和副本应当采用胶装方式装订成册，不得散装或者合页装订。</w:t>
      </w:r>
    </w:p>
    <w:p w14:paraId="17620C9F">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.9</w:t>
      </w:r>
      <w:r>
        <w:rPr>
          <w:rFonts w:hint="eastAsia" w:ascii="宋体" w:hAnsi="宋体"/>
          <w:b/>
          <w:sz w:val="24"/>
        </w:rPr>
        <w:t>（实质性要求）</w:t>
      </w:r>
      <w:r>
        <w:rPr>
          <w:rFonts w:hint="eastAsia" w:ascii="宋体" w:hAnsi="宋体"/>
          <w:sz w:val="24"/>
        </w:rPr>
        <w:t>响应文件应根据谈判文件的要求制作，签署、盖章。（按照《四川省政府采购评审工作规程（修订）》规范）</w:t>
      </w:r>
    </w:p>
    <w:p w14:paraId="45E8F2BA">
      <w:pPr>
        <w:tabs>
          <w:tab w:val="left" w:pos="1080"/>
        </w:tabs>
        <w:spacing w:line="360" w:lineRule="auto"/>
        <w:ind w:firstLine="460" w:firstLineChars="192"/>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.10响应文件统一用</w:t>
      </w:r>
      <w:r>
        <w:rPr>
          <w:rFonts w:ascii="宋体" w:hAnsi="宋体"/>
          <w:sz w:val="24"/>
        </w:rPr>
        <w:t>A4</w:t>
      </w:r>
      <w:r>
        <w:rPr>
          <w:rFonts w:hint="eastAsia" w:ascii="宋体" w:hAnsi="宋体"/>
          <w:sz w:val="24"/>
        </w:rPr>
        <w:t>幅面纸印制，除另有规定外。</w:t>
      </w:r>
    </w:p>
    <w:p w14:paraId="445F587C">
      <w:pPr>
        <w:spacing w:line="360" w:lineRule="auto"/>
        <w:rPr>
          <w:rFonts w:ascii="宋体" w:hAnsi="宋体"/>
          <w:b/>
          <w:sz w:val="24"/>
        </w:rPr>
      </w:pPr>
      <w:bookmarkStart w:id="73" w:name="_Toc77400781"/>
      <w:bookmarkStart w:id="74" w:name="_Toc217446053"/>
      <w:bookmarkStart w:id="75" w:name="_Toc183682363"/>
      <w:bookmarkStart w:id="76" w:name="_Toc183582226"/>
      <w:bookmarkStart w:id="77" w:name="_Toc89075877"/>
      <w:r>
        <w:rPr>
          <w:rFonts w:hint="eastAsia" w:ascii="宋体" w:hAnsi="宋体"/>
          <w:b/>
          <w:sz w:val="24"/>
        </w:rPr>
        <w:t>1</w:t>
      </w:r>
      <w:r>
        <w:rPr>
          <w:rFonts w:hint="eastAsia" w:ascii="宋体" w:hAnsi="宋体"/>
          <w:b/>
          <w:sz w:val="24"/>
          <w:lang w:val="en-US" w:eastAsia="zh-CN"/>
        </w:rPr>
        <w:t>8</w:t>
      </w:r>
      <w:r>
        <w:rPr>
          <w:rFonts w:hint="eastAsia" w:ascii="宋体" w:hAnsi="宋体"/>
          <w:b/>
          <w:sz w:val="24"/>
        </w:rPr>
        <w:t>.响应文件的密封和标注（不属于本项目谈判小组评审范畴，由采购人在接收响应文件时及时处理）</w:t>
      </w:r>
    </w:p>
    <w:p w14:paraId="3AA1E6D8">
      <w:pPr>
        <w:tabs>
          <w:tab w:val="left" w:pos="1080"/>
        </w:tabs>
        <w:spacing w:line="360" w:lineRule="auto"/>
        <w:ind w:firstLine="460" w:firstLineChars="192"/>
        <w:rPr>
          <w:rFonts w:ascii="宋体"/>
          <w:sz w:val="24"/>
        </w:rPr>
      </w:pPr>
      <w:r>
        <w:rPr>
          <w:rFonts w:hint="eastAsia" w:ascii="宋体"/>
          <w:sz w:val="24"/>
        </w:rPr>
        <w:t>1</w:t>
      </w:r>
      <w:r>
        <w:rPr>
          <w:rFonts w:hint="eastAsia" w:ascii="宋体"/>
          <w:sz w:val="24"/>
          <w:lang w:val="en-US" w:eastAsia="zh-CN"/>
        </w:rPr>
        <w:t>8</w:t>
      </w:r>
      <w:r>
        <w:rPr>
          <w:rFonts w:hint="eastAsia" w:ascii="宋体"/>
          <w:sz w:val="24"/>
        </w:rPr>
        <w:t>.1 响应文件可以单独密封包装，也可以所有响应文件密封包装在一个密封袋内。</w:t>
      </w:r>
    </w:p>
    <w:p w14:paraId="4A047CDB">
      <w:pPr>
        <w:tabs>
          <w:tab w:val="left" w:pos="1080"/>
        </w:tabs>
        <w:spacing w:line="360" w:lineRule="auto"/>
        <w:ind w:firstLine="460" w:firstLineChars="192"/>
        <w:rPr>
          <w:rFonts w:ascii="宋体"/>
          <w:sz w:val="24"/>
        </w:rPr>
      </w:pPr>
      <w:r>
        <w:rPr>
          <w:rFonts w:hint="eastAsia" w:ascii="宋体"/>
          <w:sz w:val="24"/>
        </w:rPr>
        <w:t>1</w:t>
      </w:r>
      <w:r>
        <w:rPr>
          <w:rFonts w:hint="eastAsia" w:ascii="宋体"/>
          <w:sz w:val="24"/>
          <w:lang w:val="en-US" w:eastAsia="zh-CN"/>
        </w:rPr>
        <w:t>8</w:t>
      </w:r>
      <w:r>
        <w:rPr>
          <w:rFonts w:hint="eastAsia" w:ascii="宋体"/>
          <w:sz w:val="24"/>
        </w:rPr>
        <w:t>.2 响应文件密封袋的最外层应清楚地标明采购项目名称、采购项目编号、包件号及名称（若有）、供应商名称。</w:t>
      </w:r>
    </w:p>
    <w:p w14:paraId="04C4682C">
      <w:pPr>
        <w:tabs>
          <w:tab w:val="left" w:pos="1080"/>
        </w:tabs>
        <w:spacing w:line="360" w:lineRule="auto"/>
        <w:ind w:firstLine="460" w:firstLineChars="192"/>
        <w:rPr>
          <w:rFonts w:ascii="宋体"/>
          <w:sz w:val="24"/>
        </w:rPr>
      </w:pPr>
      <w:r>
        <w:rPr>
          <w:rFonts w:hint="eastAsia" w:ascii="宋体"/>
          <w:sz w:val="24"/>
        </w:rPr>
        <w:t>1</w:t>
      </w:r>
      <w:r>
        <w:rPr>
          <w:rFonts w:hint="eastAsia" w:ascii="宋体"/>
          <w:sz w:val="24"/>
          <w:lang w:val="en-US" w:eastAsia="zh-CN"/>
        </w:rPr>
        <w:t>8</w:t>
      </w:r>
      <w:r>
        <w:rPr>
          <w:rFonts w:hint="eastAsia" w:ascii="宋体"/>
          <w:sz w:val="24"/>
        </w:rPr>
        <w:t>.3 所有外层密封袋的封口处应粘贴牢固。</w:t>
      </w:r>
    </w:p>
    <w:p w14:paraId="5DE4053D">
      <w:pPr>
        <w:tabs>
          <w:tab w:val="left" w:pos="1080"/>
        </w:tabs>
        <w:spacing w:line="360" w:lineRule="auto"/>
        <w:ind w:firstLine="460" w:firstLineChars="192"/>
        <w:rPr>
          <w:rFonts w:ascii="宋体"/>
          <w:sz w:val="24"/>
        </w:rPr>
      </w:pPr>
      <w:r>
        <w:rPr>
          <w:rFonts w:hint="eastAsia" w:ascii="宋体"/>
          <w:sz w:val="24"/>
        </w:rPr>
        <w:t>1</w:t>
      </w:r>
      <w:r>
        <w:rPr>
          <w:rFonts w:hint="eastAsia" w:ascii="宋体"/>
          <w:sz w:val="24"/>
          <w:lang w:val="en-US" w:eastAsia="zh-CN"/>
        </w:rPr>
        <w:t>8</w:t>
      </w:r>
      <w:r>
        <w:rPr>
          <w:rFonts w:hint="eastAsia" w:ascii="宋体"/>
          <w:sz w:val="24"/>
        </w:rPr>
        <w:t>.4 未按以上要求进行密封和标注的响应文件，采购人将拒收或者在时间允许的范围内，要求修改完善后接收。</w:t>
      </w:r>
    </w:p>
    <w:p w14:paraId="176E75C5">
      <w:pPr>
        <w:spacing w:line="360" w:lineRule="auto"/>
        <w:rPr>
          <w:rFonts w:ascii="宋体" w:hAnsi="宋体"/>
          <w:b/>
          <w:sz w:val="24"/>
        </w:rPr>
      </w:pPr>
      <w:r>
        <w:rPr>
          <w:rFonts w:hint="eastAsia" w:ascii="宋体" w:hAnsi="宋体"/>
          <w:b/>
          <w:sz w:val="24"/>
          <w:lang w:val="en-US" w:eastAsia="zh-CN"/>
        </w:rPr>
        <w:t>19</w:t>
      </w:r>
      <w:r>
        <w:rPr>
          <w:rFonts w:hint="eastAsia" w:ascii="宋体" w:hAnsi="宋体"/>
          <w:b/>
          <w:sz w:val="24"/>
        </w:rPr>
        <w:t>.响应文件的递交</w:t>
      </w:r>
    </w:p>
    <w:p w14:paraId="08B0B682">
      <w:pPr>
        <w:tabs>
          <w:tab w:val="left" w:pos="1080"/>
        </w:tabs>
        <w:spacing w:line="360" w:lineRule="auto"/>
        <w:ind w:firstLine="460" w:firstLineChars="192"/>
        <w:rPr>
          <w:rFonts w:ascii="宋体"/>
          <w:sz w:val="24"/>
        </w:rPr>
      </w:pPr>
      <w:r>
        <w:rPr>
          <w:rFonts w:hint="eastAsia" w:ascii="宋体"/>
          <w:sz w:val="24"/>
          <w:lang w:val="en-US" w:eastAsia="zh-CN"/>
        </w:rPr>
        <w:t>19</w:t>
      </w:r>
      <w:r>
        <w:rPr>
          <w:rFonts w:hint="eastAsia" w:ascii="宋体"/>
          <w:sz w:val="24"/>
        </w:rPr>
        <w:t>.1 资格性响应文件和技术、服务性响应文件应于递交响应文件截止时间前送达指定地点，采购</w:t>
      </w:r>
      <w:r>
        <w:rPr>
          <w:rFonts w:hint="eastAsia" w:ascii="宋体"/>
          <w:sz w:val="24"/>
          <w:lang w:val="en-US" w:eastAsia="zh-CN"/>
        </w:rPr>
        <w:t>人</w:t>
      </w:r>
      <w:r>
        <w:rPr>
          <w:rFonts w:hint="eastAsia" w:ascii="宋体"/>
          <w:sz w:val="24"/>
        </w:rPr>
        <w:t>拒绝接收截止时间后送达的响应文件。</w:t>
      </w:r>
    </w:p>
    <w:p w14:paraId="612D35FD">
      <w:pPr>
        <w:tabs>
          <w:tab w:val="left" w:pos="1080"/>
        </w:tabs>
        <w:spacing w:line="360" w:lineRule="auto"/>
        <w:ind w:firstLine="460" w:firstLineChars="192"/>
        <w:rPr>
          <w:rFonts w:ascii="宋体"/>
          <w:sz w:val="24"/>
        </w:rPr>
      </w:pPr>
      <w:r>
        <w:rPr>
          <w:rFonts w:hint="eastAsia" w:ascii="宋体"/>
          <w:sz w:val="24"/>
          <w:lang w:val="en-US" w:eastAsia="zh-CN"/>
        </w:rPr>
        <w:t>19</w:t>
      </w:r>
      <w:r>
        <w:rPr>
          <w:rFonts w:hint="eastAsia" w:ascii="宋体"/>
          <w:sz w:val="24"/>
        </w:rPr>
        <w:t>.2 采购代</w:t>
      </w:r>
      <w:r>
        <w:rPr>
          <w:rFonts w:hint="eastAsia" w:ascii="宋体"/>
          <w:sz w:val="24"/>
          <w:lang w:val="en-US" w:eastAsia="zh-CN"/>
        </w:rPr>
        <w:t>人</w:t>
      </w:r>
      <w:r>
        <w:rPr>
          <w:rFonts w:hint="eastAsia" w:ascii="宋体"/>
          <w:sz w:val="24"/>
        </w:rPr>
        <w:t>将向通过资格审查的供应商发出</w:t>
      </w:r>
      <w:r>
        <w:rPr>
          <w:rFonts w:hint="eastAsia" w:ascii="宋体" w:hAnsi="宋体"/>
          <w:sz w:val="24"/>
        </w:rPr>
        <w:t>谈判</w:t>
      </w:r>
      <w:r>
        <w:rPr>
          <w:rFonts w:hint="eastAsia" w:ascii="宋体"/>
          <w:sz w:val="24"/>
        </w:rPr>
        <w:t>邀请；告知未通过资格审查的供应商未通过的原因。</w:t>
      </w:r>
    </w:p>
    <w:p w14:paraId="485D0E0B">
      <w:pPr>
        <w:tabs>
          <w:tab w:val="left" w:pos="1080"/>
        </w:tabs>
        <w:spacing w:line="360" w:lineRule="auto"/>
        <w:ind w:firstLine="460" w:firstLineChars="192"/>
        <w:rPr>
          <w:rFonts w:ascii="宋体"/>
          <w:sz w:val="24"/>
        </w:rPr>
      </w:pPr>
      <w:r>
        <w:rPr>
          <w:rFonts w:hint="eastAsia" w:ascii="宋体"/>
          <w:sz w:val="24"/>
          <w:lang w:val="en-US" w:eastAsia="zh-CN"/>
        </w:rPr>
        <w:t>19</w:t>
      </w:r>
      <w:r>
        <w:rPr>
          <w:rFonts w:hint="eastAsia" w:ascii="宋体"/>
          <w:sz w:val="24"/>
        </w:rPr>
        <w:t>.3 报价表在</w:t>
      </w:r>
      <w:r>
        <w:rPr>
          <w:rFonts w:hint="eastAsia" w:ascii="宋体" w:hAnsi="宋体"/>
          <w:sz w:val="24"/>
        </w:rPr>
        <w:t>谈判</w:t>
      </w:r>
      <w:r>
        <w:rPr>
          <w:rFonts w:hint="eastAsia" w:ascii="宋体"/>
          <w:sz w:val="24"/>
        </w:rPr>
        <w:t>后，</w:t>
      </w:r>
      <w:r>
        <w:rPr>
          <w:rFonts w:hint="eastAsia" w:ascii="宋体" w:hAnsi="宋体"/>
          <w:sz w:val="24"/>
        </w:rPr>
        <w:t>谈判</w:t>
      </w:r>
      <w:r>
        <w:rPr>
          <w:rFonts w:hint="eastAsia" w:ascii="宋体"/>
          <w:sz w:val="24"/>
        </w:rPr>
        <w:t>小组要求供应商进行最后报价时递交。</w:t>
      </w:r>
    </w:p>
    <w:p w14:paraId="07335A39">
      <w:pPr>
        <w:tabs>
          <w:tab w:val="left" w:pos="1080"/>
        </w:tabs>
        <w:spacing w:line="360" w:lineRule="auto"/>
        <w:ind w:firstLine="460" w:firstLineChars="192"/>
        <w:rPr>
          <w:rFonts w:ascii="宋体"/>
          <w:sz w:val="24"/>
        </w:rPr>
      </w:pPr>
      <w:r>
        <w:rPr>
          <w:rFonts w:hint="eastAsia" w:ascii="宋体"/>
          <w:sz w:val="24"/>
          <w:lang w:val="en-US" w:eastAsia="zh-CN"/>
        </w:rPr>
        <w:t>19</w:t>
      </w:r>
      <w:r>
        <w:rPr>
          <w:rFonts w:hint="eastAsia" w:ascii="宋体"/>
          <w:sz w:val="24"/>
        </w:rPr>
        <w:t>.4 本次采购不接收邮寄的响应文件。</w:t>
      </w:r>
    </w:p>
    <w:bookmarkEnd w:id="73"/>
    <w:bookmarkEnd w:id="74"/>
    <w:bookmarkEnd w:id="75"/>
    <w:bookmarkEnd w:id="76"/>
    <w:bookmarkEnd w:id="77"/>
    <w:p w14:paraId="010A531E">
      <w:pPr>
        <w:spacing w:line="360" w:lineRule="auto"/>
        <w:rPr>
          <w:rFonts w:ascii="宋体" w:hAnsi="宋体"/>
          <w:b/>
          <w:sz w:val="24"/>
        </w:rPr>
      </w:pPr>
      <w:bookmarkStart w:id="78" w:name="_Toc183582228"/>
      <w:bookmarkStart w:id="79" w:name="_Toc183682365"/>
      <w:bookmarkStart w:id="80" w:name="_Toc217446055"/>
      <w:r>
        <w:rPr>
          <w:rFonts w:hint="eastAsia" w:ascii="宋体" w:hAnsi="宋体"/>
          <w:b/>
          <w:sz w:val="24"/>
        </w:rPr>
        <w:t>2</w:t>
      </w:r>
      <w:r>
        <w:rPr>
          <w:rFonts w:hint="eastAsia" w:ascii="宋体" w:hAnsi="宋体"/>
          <w:b/>
          <w:sz w:val="24"/>
          <w:lang w:val="en-US" w:eastAsia="zh-CN"/>
        </w:rPr>
        <w:t>0</w:t>
      </w:r>
      <w:r>
        <w:rPr>
          <w:rFonts w:hint="eastAsia" w:ascii="宋体" w:hAnsi="宋体"/>
          <w:b/>
          <w:sz w:val="24"/>
        </w:rPr>
        <w:t>.响应文件的修改和撤回（补充、修改响应文件的密封和标注按照本章“19.响应文件的密封和标注”规定处理）</w:t>
      </w:r>
    </w:p>
    <w:p w14:paraId="49C394F2">
      <w:pPr>
        <w:pStyle w:val="7"/>
        <w:spacing w:line="360" w:lineRule="auto"/>
        <w:ind w:firstLine="480"/>
        <w:rPr>
          <w:rFonts w:ascii="宋体" w:hAnsi="宋体"/>
          <w:sz w:val="24"/>
        </w:rPr>
      </w:pPr>
      <w:r>
        <w:rPr>
          <w:rFonts w:hint="eastAsia" w:ascii="宋体" w:hAnsi="宋体"/>
          <w:sz w:val="24"/>
        </w:rPr>
        <w:t>2</w:t>
      </w:r>
      <w:r>
        <w:rPr>
          <w:rFonts w:hint="eastAsia" w:ascii="宋体" w:hAnsi="宋体"/>
          <w:sz w:val="24"/>
          <w:lang w:val="en-US" w:eastAsia="zh-CN"/>
        </w:rPr>
        <w:t>0</w:t>
      </w:r>
      <w:r>
        <w:rPr>
          <w:rFonts w:ascii="宋体" w:hAnsi="宋体"/>
          <w:sz w:val="24"/>
        </w:rPr>
        <w:t>.</w:t>
      </w:r>
      <w:r>
        <w:rPr>
          <w:rFonts w:hint="eastAsia" w:ascii="宋体" w:hAnsi="宋体"/>
          <w:sz w:val="24"/>
        </w:rPr>
        <w:t>1供应商在提交响应文件后可对其响应文件进行修改或撤回，但该修改或撤回的书面通知须在递交截止时间之前送达采购</w:t>
      </w:r>
      <w:r>
        <w:rPr>
          <w:rFonts w:hint="eastAsia" w:ascii="宋体" w:hAnsi="宋体"/>
          <w:sz w:val="24"/>
          <w:lang w:val="en-US" w:eastAsia="zh-CN"/>
        </w:rPr>
        <w:t>人指定地点</w:t>
      </w:r>
      <w:r>
        <w:rPr>
          <w:rFonts w:hint="eastAsia" w:ascii="宋体" w:hAnsi="宋体"/>
          <w:sz w:val="24"/>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194F3EE">
      <w:pPr>
        <w:adjustRightInd w:val="0"/>
        <w:snapToGrid w:val="0"/>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0</w:t>
      </w:r>
      <w:r>
        <w:rPr>
          <w:rFonts w:ascii="宋体" w:hAnsi="宋体"/>
          <w:sz w:val="24"/>
        </w:rPr>
        <w:t>.</w:t>
      </w:r>
      <w:r>
        <w:rPr>
          <w:rFonts w:hint="eastAsia" w:ascii="宋体" w:hAnsi="宋体"/>
          <w:sz w:val="24"/>
        </w:rPr>
        <w:t>2供应商对响应文件修改的书面材料或撤回的通知应该按规定进行编写、密封、标注和递送，并注明“修改响应文件”字样。</w:t>
      </w:r>
    </w:p>
    <w:p w14:paraId="7DF212C7">
      <w:pPr>
        <w:adjustRightInd w:val="0"/>
        <w:snapToGrid w:val="0"/>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0</w:t>
      </w:r>
      <w:r>
        <w:rPr>
          <w:rFonts w:ascii="宋体" w:hAnsi="宋体"/>
          <w:sz w:val="24"/>
        </w:rPr>
        <w:t>.</w:t>
      </w:r>
      <w:r>
        <w:rPr>
          <w:rFonts w:hint="eastAsia" w:ascii="宋体" w:hAnsi="宋体"/>
          <w:sz w:val="24"/>
        </w:rPr>
        <w:t>3 供应商不得在递交截止时间起至响应文件有效期期满前撤回其响应文件。</w:t>
      </w:r>
    </w:p>
    <w:p w14:paraId="25596385">
      <w:pPr>
        <w:spacing w:line="360" w:lineRule="auto"/>
        <w:ind w:firstLine="480"/>
        <w:rPr>
          <w:rFonts w:hAnsi="宋体"/>
          <w:sz w:val="24"/>
        </w:rPr>
      </w:pPr>
      <w:r>
        <w:rPr>
          <w:rFonts w:hint="eastAsia" w:ascii="宋体" w:hAnsi="宋体"/>
          <w:sz w:val="24"/>
        </w:rPr>
        <w:t>2</w:t>
      </w:r>
      <w:r>
        <w:rPr>
          <w:rFonts w:hint="eastAsia" w:ascii="宋体" w:hAnsi="宋体"/>
          <w:sz w:val="24"/>
          <w:lang w:val="en-US" w:eastAsia="zh-CN"/>
        </w:rPr>
        <w:t>0</w:t>
      </w:r>
      <w:r>
        <w:rPr>
          <w:rFonts w:hint="eastAsia" w:ascii="宋体" w:hAnsi="宋体"/>
          <w:sz w:val="24"/>
        </w:rPr>
        <w:t>.4 响应文件中报</w:t>
      </w:r>
      <w:r>
        <w:rPr>
          <w:rFonts w:hint="eastAsia" w:hAnsi="宋体"/>
          <w:sz w:val="24"/>
        </w:rPr>
        <w:t>价如果出现下列不一致的，可按以下原则进行修改：</w:t>
      </w:r>
    </w:p>
    <w:p w14:paraId="4272CC8C">
      <w:pPr>
        <w:spacing w:line="360" w:lineRule="auto"/>
        <w:ind w:firstLine="480"/>
        <w:rPr>
          <w:rFonts w:ascii="宋体" w:hAnsi="宋体"/>
          <w:sz w:val="24"/>
        </w:rPr>
      </w:pPr>
      <w:r>
        <w:rPr>
          <w:rFonts w:hint="eastAsia" w:ascii="宋体" w:hAnsi="宋体"/>
          <w:sz w:val="24"/>
        </w:rPr>
        <w:t>（一）</w:t>
      </w:r>
      <w:r>
        <w:rPr>
          <w:rFonts w:hint="eastAsia" w:ascii="宋体" w:hAnsi="宋体" w:cs="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14:paraId="7D3268DD">
      <w:pPr>
        <w:spacing w:line="360" w:lineRule="auto"/>
        <w:ind w:firstLine="480"/>
        <w:rPr>
          <w:rFonts w:ascii="宋体" w:hAnsi="宋体"/>
          <w:sz w:val="24"/>
        </w:rPr>
      </w:pPr>
      <w:r>
        <w:rPr>
          <w:rFonts w:hint="eastAsia" w:ascii="宋体" w:hAnsi="宋体"/>
          <w:sz w:val="24"/>
        </w:rPr>
        <w:t>（二）</w:t>
      </w:r>
      <w:r>
        <w:rPr>
          <w:rFonts w:hint="eastAsia" w:ascii="宋体" w:hAnsi="宋体" w:cs="宋体"/>
          <w:kern w:val="0"/>
          <w:sz w:val="24"/>
        </w:rPr>
        <w:t>总价金额与按单价汇总金额不一致的，以单价金额计算结果为准，</w:t>
      </w:r>
      <w:r>
        <w:rPr>
          <w:rFonts w:hint="eastAsia" w:ascii="宋体" w:hAnsi="宋体"/>
          <w:sz w:val="24"/>
        </w:rPr>
        <w:t>但</w:t>
      </w:r>
      <w:r>
        <w:rPr>
          <w:rFonts w:hint="eastAsia" w:ascii="宋体" w:hAnsi="宋体" w:cs="宋体"/>
          <w:kern w:val="0"/>
          <w:sz w:val="24"/>
        </w:rPr>
        <w:t>单价或者单价汇总金额存在数字或者</w:t>
      </w:r>
      <w:r>
        <w:rPr>
          <w:rFonts w:hint="eastAsia" w:ascii="宋体" w:hAnsi="宋体"/>
          <w:sz w:val="24"/>
        </w:rPr>
        <w:t>文字错误的，应当先对</w:t>
      </w:r>
      <w:r>
        <w:rPr>
          <w:rFonts w:hint="eastAsia" w:ascii="宋体" w:hAnsi="宋体" w:cs="宋体"/>
          <w:kern w:val="0"/>
          <w:sz w:val="24"/>
        </w:rPr>
        <w:t>数字或者</w:t>
      </w:r>
      <w:r>
        <w:rPr>
          <w:rFonts w:hint="eastAsia" w:ascii="宋体" w:hAnsi="宋体"/>
          <w:sz w:val="24"/>
        </w:rPr>
        <w:t>文字错误进行澄清、说明或者更正，再行修正。</w:t>
      </w:r>
    </w:p>
    <w:p w14:paraId="69F83406">
      <w:pPr>
        <w:spacing w:line="360" w:lineRule="auto"/>
        <w:ind w:firstLine="480"/>
        <w:rPr>
          <w:rFonts w:ascii="宋体" w:hAnsi="宋体"/>
          <w:sz w:val="24"/>
        </w:rPr>
      </w:pPr>
      <w:r>
        <w:rPr>
          <w:rFonts w:hint="eastAsia" w:ascii="宋体" w:hAnsi="宋体"/>
          <w:sz w:val="24"/>
        </w:rPr>
        <w:t>（三）单价金额小数点</w:t>
      </w:r>
      <w:r>
        <w:rPr>
          <w:rFonts w:hint="eastAsia" w:ascii="宋体" w:hAnsi="宋体" w:cs="宋体"/>
          <w:kern w:val="0"/>
          <w:sz w:val="24"/>
        </w:rPr>
        <w:t>或者百分比有明显错位的</w:t>
      </w:r>
      <w:r>
        <w:rPr>
          <w:rFonts w:hint="eastAsia" w:ascii="宋体" w:hAnsi="宋体"/>
          <w:sz w:val="24"/>
        </w:rPr>
        <w:t>，以总价为准，修正单价。</w:t>
      </w:r>
    </w:p>
    <w:p w14:paraId="490CB351">
      <w:pPr>
        <w:spacing w:line="360" w:lineRule="auto"/>
        <w:ind w:firstLine="480" w:firstLineChars="200"/>
        <w:jc w:val="left"/>
        <w:rPr>
          <w:rFonts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261581D">
      <w:pPr>
        <w:spacing w:line="360" w:lineRule="auto"/>
        <w:ind w:firstLine="480"/>
        <w:rPr>
          <w:rFonts w:ascii="宋体" w:hAnsi="宋体"/>
          <w:sz w:val="24"/>
        </w:rPr>
      </w:pPr>
      <w:r>
        <w:rPr>
          <w:rFonts w:hint="eastAsia" w:ascii="宋体" w:hAnsi="宋体"/>
          <w:sz w:val="24"/>
        </w:rPr>
        <w:t>2</w:t>
      </w:r>
      <w:r>
        <w:rPr>
          <w:rFonts w:hint="eastAsia" w:ascii="宋体" w:hAnsi="宋体"/>
          <w:sz w:val="24"/>
          <w:lang w:val="en-US" w:eastAsia="zh-CN"/>
        </w:rPr>
        <w:t>0</w:t>
      </w:r>
      <w:r>
        <w:rPr>
          <w:rFonts w:hint="eastAsia" w:ascii="宋体" w:hAnsi="宋体"/>
          <w:sz w:val="24"/>
        </w:rPr>
        <w:t>.5 供</w:t>
      </w:r>
      <w:r>
        <w:rPr>
          <w:rFonts w:hint="eastAsia"/>
          <w:sz w:val="24"/>
        </w:rPr>
        <w:t>应商对其提交的响应文件的真实性、合法性承担法律责任。</w:t>
      </w:r>
      <w:bookmarkEnd w:id="78"/>
      <w:bookmarkEnd w:id="79"/>
      <w:bookmarkEnd w:id="80"/>
    </w:p>
    <w:p w14:paraId="70CF212A">
      <w:pPr>
        <w:pStyle w:val="3"/>
        <w:keepNext w:val="0"/>
        <w:keepLines w:val="0"/>
        <w:spacing w:before="0" w:after="0" w:line="360" w:lineRule="auto"/>
        <w:jc w:val="center"/>
      </w:pPr>
      <w:bookmarkStart w:id="81" w:name="_Toc504988296"/>
      <w:bookmarkStart w:id="82" w:name="_Toc504987197"/>
      <w:bookmarkStart w:id="83" w:name="_Toc504991341"/>
      <w:bookmarkStart w:id="84" w:name="_Toc23647"/>
      <w:r>
        <w:rPr>
          <w:rFonts w:hint="eastAsia"/>
        </w:rPr>
        <w:t>五、评审</w:t>
      </w:r>
      <w:bookmarkEnd w:id="81"/>
      <w:bookmarkEnd w:id="82"/>
      <w:bookmarkEnd w:id="83"/>
      <w:bookmarkEnd w:id="84"/>
    </w:p>
    <w:p w14:paraId="67111231">
      <w:pPr>
        <w:spacing w:line="360" w:lineRule="auto"/>
        <w:rPr>
          <w:rFonts w:ascii="宋体" w:hAnsi="宋体"/>
          <w:b/>
          <w:sz w:val="24"/>
        </w:rPr>
      </w:pPr>
      <w:r>
        <w:rPr>
          <w:rFonts w:hint="eastAsia" w:ascii="宋体" w:hAnsi="宋体"/>
          <w:b/>
          <w:sz w:val="24"/>
        </w:rPr>
        <w:t>2</w:t>
      </w:r>
      <w:r>
        <w:rPr>
          <w:rFonts w:hint="eastAsia" w:ascii="宋体" w:hAnsi="宋体"/>
          <w:b/>
          <w:sz w:val="24"/>
          <w:lang w:val="en-US" w:eastAsia="zh-CN"/>
        </w:rPr>
        <w:t>1</w:t>
      </w:r>
      <w:r>
        <w:rPr>
          <w:rFonts w:hint="eastAsia" w:ascii="宋体" w:hAnsi="宋体"/>
          <w:b/>
          <w:sz w:val="24"/>
        </w:rPr>
        <w:t>. 谈判小组的组建及其评审工作按照有关法律制度和本文件第七章的规定进行。</w:t>
      </w:r>
    </w:p>
    <w:p w14:paraId="1AFEEF04">
      <w:pPr>
        <w:pStyle w:val="3"/>
        <w:keepNext w:val="0"/>
        <w:keepLines w:val="0"/>
        <w:spacing w:before="0" w:after="0" w:line="360" w:lineRule="auto"/>
        <w:jc w:val="center"/>
        <w:rPr>
          <w:rFonts w:ascii="黑体" w:hAnsi="宋体"/>
        </w:rPr>
      </w:pPr>
      <w:bookmarkStart w:id="85" w:name="_Toc504991342"/>
      <w:bookmarkStart w:id="86" w:name="_Toc28382"/>
      <w:bookmarkStart w:id="87" w:name="_Toc504987198"/>
      <w:bookmarkStart w:id="88" w:name="_Toc504988297"/>
      <w:r>
        <w:rPr>
          <w:rFonts w:hint="eastAsia" w:ascii="黑体" w:hAnsi="宋体"/>
        </w:rPr>
        <w:t>六、成交事项</w:t>
      </w:r>
      <w:bookmarkEnd w:id="85"/>
      <w:bookmarkEnd w:id="86"/>
      <w:bookmarkEnd w:id="87"/>
      <w:bookmarkEnd w:id="88"/>
    </w:p>
    <w:p w14:paraId="5247A081">
      <w:pPr>
        <w:spacing w:line="360" w:lineRule="auto"/>
        <w:rPr>
          <w:rFonts w:ascii="宋体" w:hAnsi="宋体"/>
          <w:b/>
          <w:sz w:val="24"/>
        </w:rPr>
      </w:pPr>
      <w:r>
        <w:rPr>
          <w:rFonts w:hint="eastAsia" w:ascii="宋体" w:hAnsi="宋体"/>
          <w:b/>
          <w:sz w:val="24"/>
        </w:rPr>
        <w:t>2</w:t>
      </w:r>
      <w:r>
        <w:rPr>
          <w:rFonts w:hint="eastAsia" w:ascii="宋体" w:hAnsi="宋体"/>
          <w:b/>
          <w:sz w:val="24"/>
          <w:lang w:val="en-US" w:eastAsia="zh-CN"/>
        </w:rPr>
        <w:t>2</w:t>
      </w:r>
      <w:r>
        <w:rPr>
          <w:rFonts w:hint="eastAsia" w:ascii="宋体" w:hAnsi="宋体"/>
          <w:b/>
          <w:sz w:val="24"/>
        </w:rPr>
        <w:t>.确定成交供应商</w:t>
      </w:r>
    </w:p>
    <w:p w14:paraId="3901BD60">
      <w:pPr>
        <w:widowControl/>
        <w:spacing w:line="360" w:lineRule="auto"/>
        <w:ind w:firstLine="480" w:firstLineChars="200"/>
        <w:jc w:val="left"/>
        <w:rPr>
          <w:rFonts w:ascii="宋体" w:hAnsi="宋体"/>
          <w:color w:val="FF0000"/>
          <w:sz w:val="24"/>
        </w:rPr>
      </w:pPr>
      <w:r>
        <w:rPr>
          <w:rFonts w:hint="eastAsia" w:ascii="宋体" w:hAnsi="宋体"/>
          <w:sz w:val="24"/>
        </w:rPr>
        <w:t>采购人将按谈判小组推荐的成交候选供应商顺序确定成交供应商。</w:t>
      </w:r>
    </w:p>
    <w:p w14:paraId="35174D38">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1</w:t>
      </w:r>
      <w:r>
        <w:rPr>
          <w:rFonts w:hint="eastAsia" w:ascii="宋体" w:hAnsi="宋体"/>
          <w:sz w:val="24"/>
        </w:rPr>
        <w:t>采购人</w:t>
      </w:r>
      <w:r>
        <w:rPr>
          <w:rFonts w:hint="eastAsia" w:ascii="宋体" w:hAnsi="宋体"/>
          <w:sz w:val="24"/>
          <w:lang w:val="en-US" w:eastAsia="zh-CN"/>
        </w:rPr>
        <w:t>完成谈判后</w:t>
      </w:r>
      <w:r>
        <w:rPr>
          <w:rFonts w:hint="eastAsia" w:ascii="宋体" w:hAnsi="宋体"/>
          <w:sz w:val="24"/>
        </w:rPr>
        <w:t>，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14:paraId="7C39B8DD">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.3采购人确定成交供应商过程中，发现成交候选供应商有下列情形之一的，应当不予确定其为成交供应商：</w:t>
      </w:r>
    </w:p>
    <w:p w14:paraId="7499D0FD">
      <w:pPr>
        <w:spacing w:line="360" w:lineRule="auto"/>
        <w:ind w:firstLine="480" w:firstLineChars="200"/>
        <w:rPr>
          <w:rFonts w:ascii="宋体" w:hAnsi="宋体"/>
          <w:sz w:val="24"/>
        </w:rPr>
      </w:pPr>
      <w:r>
        <w:rPr>
          <w:rFonts w:hint="eastAsia" w:ascii="宋体" w:hAnsi="宋体"/>
          <w:sz w:val="24"/>
        </w:rPr>
        <w:t>（1）发现成交候选供应商存在禁止参加本项目采购活动的违法行为的；</w:t>
      </w:r>
    </w:p>
    <w:p w14:paraId="3A8359F8">
      <w:pPr>
        <w:spacing w:line="360" w:lineRule="auto"/>
        <w:ind w:firstLine="480" w:firstLineChars="200"/>
        <w:rPr>
          <w:rFonts w:ascii="宋体" w:hAnsi="宋体"/>
          <w:sz w:val="24"/>
        </w:rPr>
      </w:pPr>
      <w:r>
        <w:rPr>
          <w:rFonts w:hint="eastAsia" w:ascii="宋体" w:hAnsi="宋体"/>
          <w:sz w:val="24"/>
        </w:rPr>
        <w:t>（2）成交候选供应商因不可抗力，不能继续参加采购活动。</w:t>
      </w:r>
    </w:p>
    <w:p w14:paraId="704B4BB9">
      <w:pPr>
        <w:spacing w:line="360" w:lineRule="auto"/>
        <w:ind w:firstLine="480" w:firstLineChars="200"/>
        <w:rPr>
          <w:rFonts w:ascii="宋体" w:hAnsi="宋体"/>
          <w:sz w:val="24"/>
        </w:rPr>
      </w:pPr>
      <w:r>
        <w:rPr>
          <w:rFonts w:hint="eastAsia" w:ascii="宋体" w:hAnsi="宋体"/>
          <w:sz w:val="24"/>
        </w:rPr>
        <w:t>（3）成交候选供应商无偿赠与或者低于成本价竞争；</w:t>
      </w:r>
    </w:p>
    <w:p w14:paraId="03E5719E">
      <w:pPr>
        <w:spacing w:line="360" w:lineRule="auto"/>
        <w:ind w:firstLine="480" w:firstLineChars="200"/>
        <w:rPr>
          <w:rFonts w:ascii="宋体" w:hAnsi="宋体"/>
          <w:sz w:val="24"/>
        </w:rPr>
      </w:pPr>
      <w:r>
        <w:rPr>
          <w:rFonts w:hint="eastAsia" w:ascii="宋体" w:hAnsi="宋体"/>
          <w:sz w:val="24"/>
        </w:rPr>
        <w:t>（4）成交候选供应商提供虚假材料；</w:t>
      </w:r>
    </w:p>
    <w:p w14:paraId="2A4E6607">
      <w:pPr>
        <w:spacing w:line="360" w:lineRule="auto"/>
        <w:ind w:firstLine="480" w:firstLineChars="200"/>
        <w:rPr>
          <w:rFonts w:ascii="宋体" w:hAnsi="宋体"/>
          <w:sz w:val="24"/>
        </w:rPr>
      </w:pPr>
      <w:r>
        <w:rPr>
          <w:rFonts w:hint="eastAsia" w:ascii="宋体" w:hAnsi="宋体"/>
          <w:sz w:val="24"/>
        </w:rPr>
        <w:t>（5）成交候选供应商恶意串通。</w:t>
      </w:r>
    </w:p>
    <w:p w14:paraId="756BE47E">
      <w:pPr>
        <w:spacing w:line="360" w:lineRule="auto"/>
        <w:ind w:firstLine="480" w:firstLineChars="200"/>
        <w:rPr>
          <w:rFonts w:ascii="宋体" w:hAnsi="宋体"/>
          <w:sz w:val="24"/>
        </w:rPr>
      </w:pPr>
      <w:r>
        <w:rPr>
          <w:rFonts w:hint="eastAsia" w:ascii="宋体" w:hAnsi="宋体"/>
          <w:sz w:val="24"/>
        </w:rPr>
        <w:t>成交候选供应商有本条情形之一的，采购人可以确定后一位成交候选供应商为成交供应商，依次类推。无法确定成交供应商的，应当重新组织采购。</w:t>
      </w:r>
    </w:p>
    <w:p w14:paraId="4499AE83">
      <w:pPr>
        <w:spacing w:line="360" w:lineRule="auto"/>
        <w:rPr>
          <w:rFonts w:ascii="宋体" w:hAnsi="宋体"/>
          <w:b/>
          <w:sz w:val="24"/>
        </w:rPr>
      </w:pPr>
      <w:r>
        <w:rPr>
          <w:rFonts w:hint="eastAsia" w:ascii="宋体" w:hAnsi="宋体"/>
          <w:b/>
          <w:sz w:val="24"/>
        </w:rPr>
        <w:t>2</w:t>
      </w:r>
      <w:r>
        <w:rPr>
          <w:rFonts w:hint="eastAsia" w:ascii="宋体" w:hAnsi="宋体"/>
          <w:b/>
          <w:sz w:val="24"/>
          <w:lang w:val="en-US" w:eastAsia="zh-CN"/>
        </w:rPr>
        <w:t>3</w:t>
      </w:r>
      <w:r>
        <w:rPr>
          <w:rFonts w:hint="eastAsia" w:ascii="宋体" w:hAnsi="宋体"/>
          <w:b/>
          <w:sz w:val="24"/>
        </w:rPr>
        <w:t>.成交结果</w:t>
      </w:r>
    </w:p>
    <w:p w14:paraId="0E3035B4">
      <w:pPr>
        <w:spacing w:line="360" w:lineRule="auto"/>
        <w:ind w:firstLine="465"/>
        <w:rPr>
          <w:rFonts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.1采购人确定成交供应商后，将及时</w:t>
      </w:r>
      <w:r>
        <w:rPr>
          <w:rFonts w:hint="eastAsia" w:ascii="宋体" w:hAnsi="宋体"/>
          <w:sz w:val="24"/>
          <w:lang w:val="en-US" w:eastAsia="zh-CN"/>
        </w:rPr>
        <w:t>通过学校官网</w:t>
      </w:r>
      <w:r>
        <w:rPr>
          <w:rFonts w:hint="eastAsia" w:ascii="宋体" w:hAnsi="宋体"/>
          <w:sz w:val="24"/>
        </w:rPr>
        <w:t>发布成交结果公告。</w:t>
      </w:r>
    </w:p>
    <w:p w14:paraId="4982EC7F">
      <w:pPr>
        <w:spacing w:line="360" w:lineRule="auto"/>
        <w:rPr>
          <w:rFonts w:ascii="宋体" w:hAnsi="宋体"/>
          <w:b/>
          <w:sz w:val="24"/>
        </w:rPr>
      </w:pPr>
      <w:r>
        <w:rPr>
          <w:rFonts w:hint="eastAsia" w:ascii="宋体" w:hAnsi="宋体"/>
          <w:b/>
          <w:sz w:val="24"/>
        </w:rPr>
        <w:t>2</w:t>
      </w:r>
      <w:r>
        <w:rPr>
          <w:rFonts w:hint="eastAsia" w:ascii="宋体" w:hAnsi="宋体"/>
          <w:b/>
          <w:sz w:val="24"/>
          <w:lang w:val="en-US" w:eastAsia="zh-CN"/>
        </w:rPr>
        <w:t>4</w:t>
      </w:r>
      <w:r>
        <w:rPr>
          <w:rFonts w:hint="eastAsia" w:ascii="宋体" w:hAnsi="宋体"/>
          <w:b/>
          <w:sz w:val="24"/>
        </w:rPr>
        <w:t>.成交通知书</w:t>
      </w:r>
    </w:p>
    <w:p w14:paraId="1A0C735E">
      <w:pPr>
        <w:spacing w:line="360" w:lineRule="auto"/>
        <w:ind w:firstLine="480" w:firstLineChars="200"/>
        <w:rPr>
          <w:rFonts w:hAnsi="宋体"/>
          <w:sz w:val="24"/>
        </w:rPr>
      </w:pPr>
      <w:r>
        <w:rPr>
          <w:rFonts w:hint="eastAsia" w:hAnsi="宋体"/>
          <w:sz w:val="24"/>
        </w:rPr>
        <w:t>2</w:t>
      </w:r>
      <w:r>
        <w:rPr>
          <w:rFonts w:hint="eastAsia" w:hAnsi="宋体"/>
          <w:sz w:val="24"/>
          <w:lang w:val="en-US" w:eastAsia="zh-CN"/>
        </w:rPr>
        <w:t>4</w:t>
      </w:r>
      <w:r>
        <w:rPr>
          <w:rFonts w:hint="eastAsia" w:hAnsi="宋体"/>
          <w:sz w:val="24"/>
        </w:rPr>
        <w:t>.</w:t>
      </w:r>
      <w:r>
        <w:rPr>
          <w:rFonts w:hint="eastAsia" w:hAnsi="宋体"/>
          <w:sz w:val="24"/>
          <w:lang w:val="en-US" w:eastAsia="zh-CN"/>
        </w:rPr>
        <w:t>1</w:t>
      </w:r>
      <w:r>
        <w:rPr>
          <w:rFonts w:hint="eastAsia" w:hAnsi="宋体"/>
          <w:sz w:val="24"/>
        </w:rPr>
        <w:t>成交</w:t>
      </w:r>
      <w:r>
        <w:rPr>
          <w:rFonts w:hint="eastAsia" w:hAnsi="宋体"/>
          <w:sz w:val="24"/>
          <w:lang w:val="en-US" w:eastAsia="zh-CN"/>
        </w:rPr>
        <w:t>结果公告</w:t>
      </w:r>
      <w:r>
        <w:rPr>
          <w:rFonts w:hint="eastAsia" w:hAnsi="宋体"/>
          <w:sz w:val="24"/>
        </w:rPr>
        <w:t>对采购人和成交供应商均具有法律效力。成交</w:t>
      </w:r>
      <w:r>
        <w:rPr>
          <w:rFonts w:hint="eastAsia" w:hAnsi="宋体"/>
          <w:sz w:val="24"/>
          <w:lang w:val="en-US" w:eastAsia="zh-CN"/>
        </w:rPr>
        <w:t>结果公告</w:t>
      </w:r>
      <w:r>
        <w:rPr>
          <w:rFonts w:hint="eastAsia" w:hAnsi="宋体"/>
          <w:sz w:val="24"/>
        </w:rPr>
        <w:t>发出后，采购人无正当理由改变成交结果，或者成交供应商无正当理由放弃成交的，将承担相应的法律责任。</w:t>
      </w:r>
    </w:p>
    <w:p w14:paraId="6918E401">
      <w:pPr>
        <w:spacing w:line="360" w:lineRule="auto"/>
        <w:ind w:firstLine="480" w:firstLineChars="200"/>
        <w:rPr>
          <w:rFonts w:hAnsi="宋体"/>
          <w:sz w:val="24"/>
        </w:rPr>
      </w:pPr>
      <w:r>
        <w:rPr>
          <w:rFonts w:hint="eastAsia" w:hAnsi="宋体"/>
          <w:sz w:val="24"/>
        </w:rPr>
        <w:t>2</w:t>
      </w:r>
      <w:r>
        <w:rPr>
          <w:rFonts w:hint="eastAsia" w:hAnsi="宋体"/>
          <w:sz w:val="24"/>
          <w:lang w:val="en-US" w:eastAsia="zh-CN"/>
        </w:rPr>
        <w:t>4</w:t>
      </w:r>
      <w:r>
        <w:rPr>
          <w:rFonts w:hint="eastAsia" w:hAnsi="宋体"/>
          <w:sz w:val="24"/>
        </w:rPr>
        <w:t>.</w:t>
      </w:r>
      <w:r>
        <w:rPr>
          <w:rFonts w:hint="eastAsia" w:hAnsi="宋体"/>
          <w:sz w:val="24"/>
          <w:lang w:val="en-US" w:eastAsia="zh-CN"/>
        </w:rPr>
        <w:t>2</w:t>
      </w:r>
      <w:r>
        <w:rPr>
          <w:rFonts w:hint="eastAsia" w:hAnsi="宋体"/>
          <w:sz w:val="24"/>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14:paraId="3E5EA1B4">
      <w:pPr>
        <w:pStyle w:val="3"/>
        <w:keepNext w:val="0"/>
        <w:keepLines w:val="0"/>
        <w:spacing w:before="0" w:after="0" w:line="360" w:lineRule="auto"/>
        <w:jc w:val="center"/>
      </w:pPr>
      <w:bookmarkStart w:id="89" w:name="_Toc504987199"/>
      <w:bookmarkStart w:id="90" w:name="_Toc31858"/>
      <w:bookmarkStart w:id="91" w:name="_Toc504991343"/>
      <w:bookmarkStart w:id="92" w:name="_Toc504988298"/>
      <w:r>
        <w:rPr>
          <w:rFonts w:hint="eastAsia"/>
        </w:rPr>
        <w:t>七、合同事项</w:t>
      </w:r>
      <w:bookmarkEnd w:id="89"/>
      <w:bookmarkEnd w:id="90"/>
      <w:bookmarkEnd w:id="91"/>
      <w:bookmarkEnd w:id="92"/>
    </w:p>
    <w:p w14:paraId="4B18A32D">
      <w:pPr>
        <w:spacing w:line="360" w:lineRule="auto"/>
        <w:rPr>
          <w:rFonts w:ascii="宋体" w:hAnsi="宋体"/>
          <w:b/>
          <w:sz w:val="24"/>
        </w:rPr>
      </w:pPr>
      <w:bookmarkStart w:id="93" w:name="_Toc430773927"/>
      <w:bookmarkStart w:id="94" w:name="_Toc209847069"/>
      <w:bookmarkStart w:id="95" w:name="_Toc101174151"/>
      <w:bookmarkStart w:id="96" w:name="_Toc101250646"/>
      <w:bookmarkStart w:id="97" w:name="_Toc101338364"/>
      <w:r>
        <w:rPr>
          <w:rFonts w:hint="eastAsia" w:ascii="宋体" w:hAnsi="宋体"/>
          <w:b/>
          <w:sz w:val="24"/>
        </w:rPr>
        <w:t>2</w:t>
      </w:r>
      <w:r>
        <w:rPr>
          <w:rFonts w:hint="eastAsia" w:ascii="宋体" w:hAnsi="宋体"/>
          <w:b/>
          <w:sz w:val="24"/>
          <w:lang w:val="en-US" w:eastAsia="zh-CN"/>
        </w:rPr>
        <w:t>5</w:t>
      </w:r>
      <w:r>
        <w:rPr>
          <w:rFonts w:hint="eastAsia" w:ascii="宋体" w:hAnsi="宋体"/>
          <w:b/>
          <w:sz w:val="24"/>
        </w:rPr>
        <w:t>.签订合同</w:t>
      </w:r>
      <w:bookmarkEnd w:id="93"/>
      <w:bookmarkEnd w:id="94"/>
      <w:bookmarkEnd w:id="95"/>
      <w:bookmarkEnd w:id="96"/>
      <w:bookmarkEnd w:id="97"/>
    </w:p>
    <w:p w14:paraId="43332F4C">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.1 成交供应商应在成交通知书发出之日起三十日内与采购人签订采购合同。由于成交供应商的原因逾期未与采购人签订采购合同的，将视为放弃成交，取消其成交资格并将按相关规定进行处理。</w:t>
      </w:r>
    </w:p>
    <w:p w14:paraId="10F3972A">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.2 谈判文件、成交供应商的响应文件及双方确认的澄清文件等，均为有法律约束力的经济合同的组成部分。</w:t>
      </w:r>
    </w:p>
    <w:p w14:paraId="5E3B1CB2">
      <w:pPr>
        <w:spacing w:line="360" w:lineRule="auto"/>
        <w:ind w:firstLine="480" w:firstLineChars="200"/>
        <w:rPr>
          <w:rFonts w:hAnsi="宋体"/>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.3 采购</w:t>
      </w:r>
      <w:r>
        <w:rPr>
          <w:rFonts w:hint="eastAsia" w:hAnsi="宋体"/>
          <w:sz w:val="24"/>
        </w:rPr>
        <w:t>人不得向成交供应商提出任何不合理的要求，作为签订合同的条件，不得与成交供应商私下订立背离合同实质性内容的任何协议，所签订的合同不得对谈判文件和成交供应商响应文件确定的事项进行修改。</w:t>
      </w:r>
    </w:p>
    <w:p w14:paraId="6E66D49E">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.4 成交供应商因不可抗力原因不能履行采购合同或放弃成交的，采购人可以与排在成交供应商之后第一位的成交候选人签订采购合同，以此类推。</w:t>
      </w:r>
    </w:p>
    <w:p w14:paraId="1416F556">
      <w:pPr>
        <w:spacing w:line="360" w:lineRule="auto"/>
        <w:ind w:firstLine="480" w:firstLineChars="200"/>
        <w:rPr>
          <w:rFonts w:hAnsi="宋体"/>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 xml:space="preserve">.5 </w:t>
      </w:r>
      <w:r>
        <w:rPr>
          <w:rFonts w:hint="eastAsia" w:hAnsi="宋体"/>
          <w:sz w:val="24"/>
        </w:rPr>
        <w:t>竞争性</w:t>
      </w:r>
      <w:r>
        <w:rPr>
          <w:rFonts w:hint="eastAsia" w:ascii="宋体" w:hAnsi="宋体"/>
          <w:sz w:val="24"/>
        </w:rPr>
        <w:t>谈判</w:t>
      </w:r>
      <w:r>
        <w:rPr>
          <w:rFonts w:hint="eastAsia" w:hAnsi="宋体"/>
          <w:sz w:val="24"/>
        </w:rPr>
        <w:t>文件、成交供应商提交的响应文件、</w:t>
      </w:r>
      <w:r>
        <w:rPr>
          <w:rFonts w:hint="eastAsia" w:ascii="宋体" w:hAnsi="宋体"/>
          <w:sz w:val="24"/>
        </w:rPr>
        <w:t>谈判</w:t>
      </w:r>
      <w:r>
        <w:rPr>
          <w:rFonts w:hint="eastAsia" w:hAnsi="宋体"/>
          <w:sz w:val="24"/>
        </w:rPr>
        <w:t>中的最后报价、成交供应商承诺书、成交通知书等均称为有法律约束力的合同组成内容。</w:t>
      </w:r>
    </w:p>
    <w:p w14:paraId="6CC2F1CF">
      <w:pPr>
        <w:spacing w:line="360" w:lineRule="auto"/>
        <w:rPr>
          <w:rFonts w:ascii="宋体" w:hAnsi="宋体"/>
          <w:b/>
          <w:sz w:val="24"/>
        </w:rPr>
      </w:pPr>
      <w:r>
        <w:rPr>
          <w:rFonts w:hint="eastAsia" w:ascii="宋体" w:hAnsi="宋体"/>
          <w:b/>
          <w:sz w:val="24"/>
        </w:rPr>
        <w:t>2</w:t>
      </w:r>
      <w:r>
        <w:rPr>
          <w:rFonts w:hint="eastAsia" w:ascii="宋体" w:hAnsi="宋体"/>
          <w:b/>
          <w:sz w:val="24"/>
          <w:lang w:val="en-US" w:eastAsia="zh-CN"/>
        </w:rPr>
        <w:t>6</w:t>
      </w:r>
      <w:r>
        <w:rPr>
          <w:rFonts w:hint="eastAsia" w:ascii="宋体" w:hAnsi="宋体"/>
          <w:b/>
          <w:sz w:val="24"/>
        </w:rPr>
        <w:t>.合同分包（实质性要求）</w:t>
      </w:r>
    </w:p>
    <w:p w14:paraId="68F98078">
      <w:pPr>
        <w:spacing w:line="360" w:lineRule="auto"/>
        <w:rPr>
          <w:rFonts w:hint="eastAsia" w:ascii="宋体" w:hAnsi="宋体"/>
          <w:sz w:val="24"/>
          <w:lang w:eastAsia="zh-CN"/>
        </w:rPr>
      </w:pPr>
      <w:r>
        <w:rPr>
          <w:rFonts w:hint="eastAsia" w:ascii="宋体" w:hAnsi="宋体"/>
          <w:sz w:val="24"/>
          <w:lang w:eastAsia="zh-CN"/>
        </w:rPr>
        <w:t>本项目不允许分包。</w:t>
      </w:r>
    </w:p>
    <w:p w14:paraId="57024179">
      <w:pPr>
        <w:spacing w:line="360" w:lineRule="auto"/>
        <w:rPr>
          <w:rFonts w:ascii="宋体" w:hAnsi="宋体"/>
          <w:b/>
          <w:sz w:val="24"/>
        </w:rPr>
      </w:pPr>
      <w:r>
        <w:rPr>
          <w:rFonts w:hint="eastAsia" w:ascii="宋体" w:hAnsi="宋体"/>
          <w:b/>
          <w:sz w:val="24"/>
        </w:rPr>
        <w:t>2</w:t>
      </w:r>
      <w:r>
        <w:rPr>
          <w:rFonts w:hint="eastAsia" w:ascii="宋体" w:hAnsi="宋体"/>
          <w:b/>
          <w:sz w:val="24"/>
          <w:lang w:val="en-US" w:eastAsia="zh-CN"/>
        </w:rPr>
        <w:t>7</w:t>
      </w:r>
      <w:r>
        <w:rPr>
          <w:rFonts w:hint="eastAsia" w:ascii="宋体" w:hAnsi="宋体"/>
          <w:b/>
          <w:sz w:val="24"/>
        </w:rPr>
        <w:t>.合同转包（实质性要求）</w:t>
      </w:r>
    </w:p>
    <w:p w14:paraId="5875129C">
      <w:pPr>
        <w:spacing w:line="360" w:lineRule="auto"/>
        <w:ind w:firstLine="480" w:firstLineChars="200"/>
        <w:rPr>
          <w:rFonts w:hint="eastAsia" w:hAnsi="宋体"/>
          <w:sz w:val="24"/>
        </w:rPr>
      </w:pPr>
      <w:r>
        <w:rPr>
          <w:rFonts w:hint="eastAsia" w:hAnsi="宋体"/>
          <w:sz w:val="24"/>
        </w:rPr>
        <w:t>本采购项目严禁成交供应商将任何政府采购合同义务转包。本项目所称转包，是指成交供应商将采购合同义务转让给第三人，并退出现有采购合同当事人双方的权利义务关系，受让人（即第三人）成为采购合同的另一方当事人的行为。</w:t>
      </w:r>
    </w:p>
    <w:p w14:paraId="75D5CE1E">
      <w:pPr>
        <w:spacing w:line="360" w:lineRule="auto"/>
        <w:rPr>
          <w:rFonts w:hint="eastAsia" w:hAnsi="宋体"/>
          <w:sz w:val="24"/>
        </w:rPr>
      </w:pPr>
      <w:r>
        <w:rPr>
          <w:rFonts w:hint="eastAsia" w:hAnsi="宋体"/>
          <w:sz w:val="24"/>
        </w:rPr>
        <w:t>成交供应商转包的，视同拒绝履行采购合同义务，将依法追究法律责任。</w:t>
      </w:r>
    </w:p>
    <w:p w14:paraId="29445CE2">
      <w:pPr>
        <w:spacing w:line="360" w:lineRule="auto"/>
        <w:rPr>
          <w:rFonts w:ascii="宋体" w:hAnsi="宋体"/>
          <w:b/>
          <w:sz w:val="24"/>
        </w:rPr>
      </w:pPr>
      <w:r>
        <w:rPr>
          <w:rFonts w:hint="eastAsia" w:ascii="宋体" w:hAnsi="宋体"/>
          <w:b/>
          <w:sz w:val="24"/>
        </w:rPr>
        <w:t>2</w:t>
      </w:r>
      <w:r>
        <w:rPr>
          <w:rFonts w:hint="eastAsia" w:ascii="宋体" w:hAnsi="宋体"/>
          <w:b/>
          <w:sz w:val="24"/>
          <w:lang w:val="en-US" w:eastAsia="zh-CN"/>
        </w:rPr>
        <w:t>8</w:t>
      </w:r>
      <w:r>
        <w:rPr>
          <w:rFonts w:hint="eastAsia" w:ascii="宋体" w:hAnsi="宋体"/>
          <w:b/>
          <w:sz w:val="24"/>
        </w:rPr>
        <w:t>.补充合同</w:t>
      </w:r>
    </w:p>
    <w:p w14:paraId="72B063A3">
      <w:pPr>
        <w:spacing w:line="360" w:lineRule="auto"/>
        <w:ind w:firstLine="480" w:firstLineChars="200"/>
        <w:rPr>
          <w:rFonts w:hAnsi="宋体"/>
          <w:sz w:val="24"/>
        </w:rPr>
      </w:pPr>
      <w:r>
        <w:rPr>
          <w:rFonts w:hint="eastAsia" w:hAnsi="宋体"/>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01064705">
      <w:pPr>
        <w:spacing w:line="360" w:lineRule="auto"/>
        <w:rPr>
          <w:rFonts w:ascii="宋体" w:hAnsi="宋体"/>
          <w:b/>
          <w:sz w:val="24"/>
        </w:rPr>
      </w:pPr>
      <w:r>
        <w:rPr>
          <w:rFonts w:hint="eastAsia" w:ascii="宋体" w:hAnsi="宋体"/>
          <w:b/>
          <w:sz w:val="24"/>
          <w:lang w:val="en-US" w:eastAsia="zh-CN"/>
        </w:rPr>
        <w:t>29</w:t>
      </w:r>
      <w:r>
        <w:rPr>
          <w:rFonts w:hint="eastAsia" w:ascii="宋体" w:hAnsi="宋体"/>
          <w:b/>
          <w:sz w:val="24"/>
        </w:rPr>
        <w:t>.履约保证金（实质性要求）</w:t>
      </w:r>
    </w:p>
    <w:p w14:paraId="45F3E4A8">
      <w:pPr>
        <w:spacing w:line="360" w:lineRule="auto"/>
        <w:ind w:firstLine="480" w:firstLineChars="200"/>
        <w:rPr>
          <w:rFonts w:hint="default" w:eastAsia="宋体"/>
          <w:sz w:val="24"/>
          <w:lang w:val="en-US" w:eastAsia="zh-CN"/>
        </w:rPr>
      </w:pPr>
      <w:r>
        <w:rPr>
          <w:rFonts w:hint="eastAsia"/>
          <w:sz w:val="24"/>
          <w:lang w:val="en-US" w:eastAsia="zh-CN"/>
        </w:rPr>
        <w:t>本项目不收取履约保证金。</w:t>
      </w:r>
    </w:p>
    <w:p w14:paraId="2C4218DB">
      <w:pPr>
        <w:spacing w:line="360" w:lineRule="auto"/>
        <w:rPr>
          <w:rFonts w:ascii="宋体" w:hAnsi="宋体"/>
          <w:b/>
          <w:sz w:val="24"/>
        </w:rPr>
      </w:pPr>
      <w:r>
        <w:rPr>
          <w:rFonts w:hint="eastAsia" w:ascii="宋体" w:hAnsi="宋体"/>
          <w:b/>
          <w:sz w:val="24"/>
        </w:rPr>
        <w:t>3</w:t>
      </w:r>
      <w:r>
        <w:rPr>
          <w:rFonts w:hint="eastAsia" w:ascii="宋体" w:hAnsi="宋体"/>
          <w:b/>
          <w:sz w:val="24"/>
          <w:lang w:val="en-US" w:eastAsia="zh-CN"/>
        </w:rPr>
        <w:t>0</w:t>
      </w:r>
      <w:r>
        <w:rPr>
          <w:rFonts w:hint="eastAsia" w:ascii="宋体" w:hAnsi="宋体"/>
          <w:b/>
          <w:sz w:val="24"/>
        </w:rPr>
        <w:t>.履行合同</w:t>
      </w:r>
    </w:p>
    <w:p w14:paraId="6F06FADB">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0</w:t>
      </w:r>
      <w:r>
        <w:rPr>
          <w:rFonts w:hint="eastAsia" w:ascii="宋体" w:hAnsi="宋体"/>
          <w:sz w:val="24"/>
        </w:rPr>
        <w:t>.1 成交供应商与采购人签订合同后，合同双方应严格执行合同条款，履行合同规定的义务，保证合同的顺利完成。</w:t>
      </w:r>
    </w:p>
    <w:p w14:paraId="328B333A">
      <w:pPr>
        <w:spacing w:line="360" w:lineRule="auto"/>
        <w:ind w:firstLine="480" w:firstLineChars="200"/>
        <w:rPr>
          <w:rFonts w:hAnsi="宋体"/>
          <w:sz w:val="24"/>
        </w:rPr>
      </w:pPr>
      <w:r>
        <w:rPr>
          <w:rFonts w:hint="eastAsia" w:ascii="宋体" w:hAnsi="宋体"/>
          <w:sz w:val="24"/>
        </w:rPr>
        <w:t>3</w:t>
      </w:r>
      <w:r>
        <w:rPr>
          <w:rFonts w:hint="eastAsia" w:ascii="宋体" w:hAnsi="宋体"/>
          <w:sz w:val="24"/>
          <w:lang w:val="en-US" w:eastAsia="zh-CN"/>
        </w:rPr>
        <w:t>0</w:t>
      </w:r>
      <w:r>
        <w:rPr>
          <w:rFonts w:hint="eastAsia" w:ascii="宋体" w:hAnsi="宋体"/>
          <w:sz w:val="24"/>
        </w:rPr>
        <w:t>.2 在合同</w:t>
      </w:r>
      <w:r>
        <w:rPr>
          <w:rFonts w:hint="eastAsia" w:hAnsi="宋体"/>
          <w:sz w:val="24"/>
        </w:rPr>
        <w:t>履行过程中，如发生合同纠纷，合同双方应按照《合同法》的有关规定进行处理。</w:t>
      </w:r>
    </w:p>
    <w:p w14:paraId="413127D3">
      <w:pPr>
        <w:spacing w:line="360" w:lineRule="auto"/>
        <w:rPr>
          <w:rFonts w:ascii="宋体" w:hAnsi="宋体"/>
          <w:b/>
          <w:sz w:val="24"/>
        </w:rPr>
      </w:pPr>
      <w:r>
        <w:rPr>
          <w:rFonts w:hint="eastAsia" w:ascii="宋体" w:hAnsi="宋体"/>
          <w:b/>
          <w:sz w:val="24"/>
        </w:rPr>
        <w:t>3</w:t>
      </w:r>
      <w:r>
        <w:rPr>
          <w:rFonts w:hint="eastAsia" w:ascii="宋体" w:hAnsi="宋体"/>
          <w:b/>
          <w:sz w:val="24"/>
          <w:lang w:val="en-US" w:eastAsia="zh-CN"/>
        </w:rPr>
        <w:t>1</w:t>
      </w:r>
      <w:r>
        <w:rPr>
          <w:rFonts w:hint="eastAsia" w:ascii="宋体" w:hAnsi="宋体"/>
          <w:b/>
          <w:sz w:val="24"/>
        </w:rPr>
        <w:t>.验收</w:t>
      </w:r>
    </w:p>
    <w:p w14:paraId="5108983D">
      <w:pPr>
        <w:spacing w:line="360" w:lineRule="auto"/>
        <w:ind w:firstLine="480" w:firstLineChars="200"/>
        <w:rPr>
          <w:rFonts w:hint="eastAsia" w:ascii="宋体" w:hAnsi="宋体"/>
          <w:sz w:val="24"/>
        </w:rPr>
      </w:pPr>
      <w:r>
        <w:rPr>
          <w:rFonts w:hint="eastAsia" w:ascii="宋体" w:hAnsi="宋体"/>
          <w:sz w:val="24"/>
        </w:rPr>
        <w:t>本项目采购人将参照政府采购相关法律法规以及《财政部关于进一步加强政府采购需求和履约验收管理的指导意见》（财库〔</w:t>
      </w:r>
      <w:r>
        <w:rPr>
          <w:rFonts w:hint="eastAsia" w:ascii="宋体" w:hAnsi="宋体"/>
          <w:sz w:val="24"/>
          <w:lang w:eastAsia="zh-CN"/>
        </w:rPr>
        <w:t>202</w:t>
      </w:r>
      <w:r>
        <w:rPr>
          <w:rFonts w:hint="eastAsia" w:ascii="宋体" w:hAnsi="宋体"/>
          <w:sz w:val="24"/>
        </w:rPr>
        <w:t>6〕205号）的要求进行验收。</w:t>
      </w:r>
    </w:p>
    <w:p w14:paraId="48B50EE2">
      <w:pPr>
        <w:spacing w:line="360" w:lineRule="auto"/>
        <w:ind w:firstLine="482" w:firstLineChars="200"/>
        <w:rPr>
          <w:rFonts w:ascii="宋体" w:hAnsi="宋体"/>
          <w:b/>
          <w:sz w:val="24"/>
        </w:rPr>
      </w:pPr>
      <w:r>
        <w:rPr>
          <w:rFonts w:hint="eastAsia" w:ascii="宋体" w:hAnsi="宋体"/>
          <w:b/>
          <w:sz w:val="24"/>
        </w:rPr>
        <w:t>3</w:t>
      </w:r>
      <w:r>
        <w:rPr>
          <w:rFonts w:hint="eastAsia" w:ascii="宋体" w:hAnsi="宋体"/>
          <w:b/>
          <w:sz w:val="24"/>
          <w:lang w:val="en-US" w:eastAsia="zh-CN"/>
        </w:rPr>
        <w:t>2</w:t>
      </w:r>
      <w:r>
        <w:rPr>
          <w:rFonts w:hint="eastAsia" w:ascii="宋体" w:hAnsi="宋体"/>
          <w:b/>
          <w:sz w:val="24"/>
        </w:rPr>
        <w:t>.资金支付</w:t>
      </w:r>
    </w:p>
    <w:p w14:paraId="4B8F9AFA">
      <w:pPr>
        <w:tabs>
          <w:tab w:val="left" w:pos="851"/>
        </w:tabs>
        <w:spacing w:line="360" w:lineRule="auto"/>
        <w:ind w:firstLine="480" w:firstLineChars="200"/>
        <w:rPr>
          <w:rFonts w:ascii="宋体" w:hAnsi="宋体"/>
          <w:sz w:val="24"/>
        </w:rPr>
      </w:pPr>
      <w:bookmarkStart w:id="98" w:name="_Toc504991344"/>
      <w:bookmarkStart w:id="99" w:name="_Toc504988299"/>
      <w:bookmarkStart w:id="100" w:name="_Toc504987200"/>
      <w:r>
        <w:rPr>
          <w:rFonts w:hint="eastAsia" w:ascii="宋体" w:hAnsi="宋体"/>
          <w:sz w:val="24"/>
        </w:rPr>
        <w:t>具体付款方式详见第五章商务要求。</w:t>
      </w:r>
    </w:p>
    <w:p w14:paraId="31394332">
      <w:pPr>
        <w:pStyle w:val="3"/>
        <w:keepNext w:val="0"/>
        <w:keepLines w:val="0"/>
        <w:spacing w:before="0" w:after="0" w:line="360" w:lineRule="auto"/>
        <w:jc w:val="center"/>
      </w:pPr>
      <w:bookmarkStart w:id="101" w:name="_Toc22254"/>
      <w:r>
        <w:rPr>
          <w:rFonts w:hint="eastAsia"/>
        </w:rPr>
        <w:t>八、谈判纪律要求</w:t>
      </w:r>
      <w:bookmarkEnd w:id="98"/>
      <w:bookmarkEnd w:id="99"/>
      <w:bookmarkEnd w:id="100"/>
      <w:bookmarkEnd w:id="101"/>
    </w:p>
    <w:p w14:paraId="657A2FE1">
      <w:pPr>
        <w:spacing w:line="360" w:lineRule="auto"/>
        <w:rPr>
          <w:rFonts w:ascii="宋体" w:hAnsi="宋体"/>
          <w:b/>
          <w:sz w:val="24"/>
        </w:rPr>
      </w:pPr>
      <w:r>
        <w:rPr>
          <w:rFonts w:hint="eastAsia" w:ascii="宋体" w:hAnsi="宋体"/>
          <w:b/>
          <w:sz w:val="24"/>
        </w:rPr>
        <w:t>3</w:t>
      </w:r>
      <w:r>
        <w:rPr>
          <w:rFonts w:hint="eastAsia" w:ascii="宋体" w:hAnsi="宋体"/>
          <w:b/>
          <w:sz w:val="24"/>
          <w:lang w:val="en-US" w:eastAsia="zh-CN"/>
        </w:rPr>
        <w:t>3</w:t>
      </w:r>
      <w:r>
        <w:rPr>
          <w:rFonts w:hint="eastAsia" w:ascii="宋体" w:hAnsi="宋体"/>
          <w:b/>
          <w:sz w:val="24"/>
        </w:rPr>
        <w:t>.供应商不得具有的情形</w:t>
      </w:r>
    </w:p>
    <w:p w14:paraId="7E0ED15E">
      <w:pPr>
        <w:tabs>
          <w:tab w:val="left" w:pos="851"/>
        </w:tabs>
        <w:spacing w:line="360" w:lineRule="auto"/>
        <w:ind w:firstLine="480" w:firstLineChars="200"/>
        <w:rPr>
          <w:rFonts w:ascii="宋体" w:hAnsi="宋体"/>
          <w:sz w:val="24"/>
        </w:rPr>
      </w:pPr>
      <w:r>
        <w:rPr>
          <w:rFonts w:hint="eastAsia" w:ascii="宋体" w:hAnsi="宋体"/>
          <w:sz w:val="24"/>
        </w:rPr>
        <w:t>供应商参加本项目谈判不得有下列情形：</w:t>
      </w:r>
    </w:p>
    <w:p w14:paraId="059FFFE5">
      <w:pPr>
        <w:tabs>
          <w:tab w:val="left" w:pos="851"/>
        </w:tabs>
        <w:spacing w:line="360" w:lineRule="auto"/>
        <w:ind w:firstLine="480" w:firstLineChars="200"/>
        <w:rPr>
          <w:rFonts w:ascii="宋体" w:hAnsi="宋体"/>
          <w:sz w:val="24"/>
        </w:rPr>
      </w:pPr>
      <w:r>
        <w:rPr>
          <w:rFonts w:hint="eastAsia" w:ascii="宋体" w:hAnsi="宋体"/>
          <w:sz w:val="24"/>
        </w:rPr>
        <w:t>（1）提供虚假材料谋取成交；</w:t>
      </w:r>
    </w:p>
    <w:p w14:paraId="3E180764">
      <w:pPr>
        <w:tabs>
          <w:tab w:val="left" w:pos="851"/>
        </w:tabs>
        <w:spacing w:line="360" w:lineRule="auto"/>
        <w:ind w:firstLine="480" w:firstLineChars="200"/>
        <w:rPr>
          <w:rFonts w:ascii="宋体" w:hAnsi="宋体"/>
          <w:sz w:val="24"/>
        </w:rPr>
      </w:pPr>
      <w:r>
        <w:rPr>
          <w:rFonts w:hint="eastAsia" w:ascii="宋体" w:hAnsi="宋体"/>
          <w:sz w:val="24"/>
        </w:rPr>
        <w:t>（2）采取不正当手段诋毁、排挤其他供应商；</w:t>
      </w:r>
    </w:p>
    <w:p w14:paraId="1E705663">
      <w:pPr>
        <w:tabs>
          <w:tab w:val="left" w:pos="851"/>
        </w:tabs>
        <w:spacing w:line="360" w:lineRule="auto"/>
        <w:ind w:firstLine="480" w:firstLineChars="200"/>
        <w:rPr>
          <w:rFonts w:ascii="宋体" w:hAnsi="宋体"/>
          <w:sz w:val="24"/>
        </w:rPr>
      </w:pPr>
      <w:r>
        <w:rPr>
          <w:rFonts w:hint="eastAsia" w:ascii="宋体" w:hAnsi="宋体"/>
          <w:sz w:val="24"/>
        </w:rPr>
        <w:t>（3）与采购人、或其他供应商恶意串通；</w:t>
      </w:r>
    </w:p>
    <w:p w14:paraId="1B5B42D4">
      <w:pPr>
        <w:tabs>
          <w:tab w:val="left" w:pos="851"/>
        </w:tabs>
        <w:spacing w:line="360" w:lineRule="auto"/>
        <w:ind w:firstLine="480" w:firstLineChars="200"/>
        <w:rPr>
          <w:rFonts w:ascii="宋体" w:hAnsi="宋体"/>
          <w:sz w:val="24"/>
        </w:rPr>
      </w:pPr>
      <w:r>
        <w:rPr>
          <w:rFonts w:hint="eastAsia" w:ascii="宋体" w:hAnsi="宋体"/>
          <w:sz w:val="24"/>
        </w:rPr>
        <w:t>（4）向采购人、谈判小组成员行贿或者提供其他不正当利益；</w:t>
      </w:r>
    </w:p>
    <w:p w14:paraId="5CBF0759">
      <w:pPr>
        <w:tabs>
          <w:tab w:val="left" w:pos="851"/>
        </w:tabs>
        <w:spacing w:line="360" w:lineRule="auto"/>
        <w:ind w:firstLine="480" w:firstLineChars="200"/>
        <w:rPr>
          <w:rFonts w:ascii="宋体" w:hAnsi="宋体"/>
          <w:sz w:val="24"/>
        </w:rPr>
      </w:pPr>
      <w:r>
        <w:rPr>
          <w:rFonts w:hint="eastAsia" w:ascii="宋体" w:hAnsi="宋体"/>
          <w:sz w:val="24"/>
        </w:rPr>
        <w:t>（5）在谈判过程中与采购人进行协商；</w:t>
      </w:r>
    </w:p>
    <w:p w14:paraId="4104FBA4">
      <w:pPr>
        <w:tabs>
          <w:tab w:val="left" w:pos="851"/>
        </w:tabs>
        <w:spacing w:line="360" w:lineRule="auto"/>
        <w:ind w:firstLine="480" w:firstLineChars="200"/>
        <w:rPr>
          <w:rFonts w:ascii="宋体" w:hAnsi="宋体"/>
          <w:sz w:val="24"/>
        </w:rPr>
      </w:pPr>
      <w:r>
        <w:rPr>
          <w:rFonts w:hint="eastAsia" w:ascii="宋体" w:hAnsi="宋体"/>
          <w:sz w:val="24"/>
        </w:rPr>
        <w:t>（6）成交后无正当理由拒不与采购人签订采购合同；</w:t>
      </w:r>
    </w:p>
    <w:p w14:paraId="3028641A">
      <w:pPr>
        <w:tabs>
          <w:tab w:val="left" w:pos="851"/>
        </w:tabs>
        <w:spacing w:line="360" w:lineRule="auto"/>
        <w:ind w:firstLine="480" w:firstLineChars="200"/>
        <w:rPr>
          <w:rFonts w:ascii="宋体" w:hAnsi="宋体"/>
          <w:sz w:val="24"/>
        </w:rPr>
      </w:pPr>
      <w:r>
        <w:rPr>
          <w:rFonts w:hint="eastAsia" w:ascii="宋体" w:hAnsi="宋体"/>
          <w:sz w:val="24"/>
        </w:rPr>
        <w:t>（7）未按照谈判文件确定的事项签订采购合同；</w:t>
      </w:r>
    </w:p>
    <w:p w14:paraId="32F8C9A5">
      <w:pPr>
        <w:tabs>
          <w:tab w:val="left" w:pos="851"/>
        </w:tabs>
        <w:spacing w:line="360" w:lineRule="auto"/>
        <w:ind w:firstLine="480" w:firstLineChars="200"/>
        <w:rPr>
          <w:rFonts w:ascii="宋体" w:hAnsi="宋体"/>
          <w:sz w:val="24"/>
        </w:rPr>
      </w:pPr>
      <w:r>
        <w:rPr>
          <w:rFonts w:hint="eastAsia" w:ascii="宋体" w:hAnsi="宋体"/>
          <w:sz w:val="24"/>
        </w:rPr>
        <w:t>（8）将采购合同转包或者违规分包；</w:t>
      </w:r>
    </w:p>
    <w:p w14:paraId="18275143">
      <w:pPr>
        <w:tabs>
          <w:tab w:val="left" w:pos="851"/>
        </w:tabs>
        <w:spacing w:line="360" w:lineRule="auto"/>
        <w:ind w:firstLine="480" w:firstLineChars="200"/>
        <w:rPr>
          <w:rFonts w:ascii="宋体" w:hAnsi="宋体"/>
          <w:sz w:val="24"/>
        </w:rPr>
      </w:pPr>
      <w:r>
        <w:rPr>
          <w:rFonts w:hint="eastAsia" w:ascii="宋体" w:hAnsi="宋体"/>
          <w:sz w:val="24"/>
        </w:rPr>
        <w:t>（9）提供假冒伪劣产品；</w:t>
      </w:r>
    </w:p>
    <w:p w14:paraId="61271397">
      <w:pPr>
        <w:tabs>
          <w:tab w:val="left" w:pos="851"/>
        </w:tabs>
        <w:spacing w:line="360" w:lineRule="auto"/>
        <w:ind w:firstLine="480" w:firstLineChars="200"/>
        <w:rPr>
          <w:rFonts w:ascii="宋体" w:hAnsi="宋体"/>
          <w:sz w:val="24"/>
        </w:rPr>
      </w:pPr>
      <w:r>
        <w:rPr>
          <w:rFonts w:hint="eastAsia" w:ascii="宋体" w:hAnsi="宋体"/>
          <w:sz w:val="24"/>
        </w:rPr>
        <w:t>（10）擅自变更、中止或者终止采购合同；</w:t>
      </w:r>
    </w:p>
    <w:p w14:paraId="3C7F2945">
      <w:pPr>
        <w:tabs>
          <w:tab w:val="left" w:pos="851"/>
        </w:tabs>
        <w:spacing w:line="360" w:lineRule="auto"/>
        <w:ind w:firstLine="480" w:firstLineChars="200"/>
        <w:rPr>
          <w:rFonts w:ascii="宋体" w:hAnsi="宋体"/>
          <w:sz w:val="24"/>
        </w:rPr>
      </w:pPr>
      <w:r>
        <w:rPr>
          <w:rFonts w:hint="eastAsia" w:ascii="宋体" w:hAnsi="宋体"/>
          <w:sz w:val="24"/>
        </w:rPr>
        <w:t>（11）拒绝有关部门的监督检查或者向监督检查部门提供虚假情况；</w:t>
      </w:r>
    </w:p>
    <w:p w14:paraId="2AEF0E20">
      <w:pPr>
        <w:tabs>
          <w:tab w:val="left" w:pos="851"/>
        </w:tabs>
        <w:spacing w:line="360" w:lineRule="auto"/>
        <w:ind w:firstLine="480" w:firstLineChars="200"/>
        <w:rPr>
          <w:rFonts w:ascii="宋体" w:hAnsi="宋体"/>
          <w:sz w:val="24"/>
        </w:rPr>
      </w:pPr>
      <w:r>
        <w:rPr>
          <w:rFonts w:hint="eastAsia" w:ascii="宋体" w:hAnsi="宋体"/>
          <w:sz w:val="24"/>
        </w:rPr>
        <w:t>（12）法律法规规定的其他情形。</w:t>
      </w:r>
    </w:p>
    <w:p w14:paraId="4B59F268">
      <w:pPr>
        <w:tabs>
          <w:tab w:val="left" w:pos="851"/>
        </w:tabs>
        <w:spacing w:line="360" w:lineRule="auto"/>
        <w:ind w:firstLine="480" w:firstLineChars="200"/>
        <w:rPr>
          <w:rFonts w:ascii="宋体" w:hAnsi="宋体"/>
          <w:sz w:val="24"/>
        </w:rPr>
      </w:pPr>
      <w:r>
        <w:rPr>
          <w:rFonts w:hint="eastAsia" w:ascii="宋体" w:hAnsi="宋体"/>
          <w:sz w:val="24"/>
        </w:rPr>
        <w:t>供应商有上述情形的，按照规定追究法律责任，具备（1）-（12）条情形之一的，同时将取消被确认为成交供应商的资格或者认定成交无效。</w:t>
      </w:r>
    </w:p>
    <w:p w14:paraId="2C86C7D8">
      <w:pPr>
        <w:pStyle w:val="3"/>
        <w:keepNext w:val="0"/>
        <w:keepLines w:val="0"/>
        <w:spacing w:before="0" w:after="0" w:line="360" w:lineRule="auto"/>
        <w:jc w:val="center"/>
      </w:pPr>
      <w:bookmarkStart w:id="102" w:name="_Toc1659"/>
      <w:r>
        <w:rPr>
          <w:rFonts w:hint="eastAsia"/>
        </w:rPr>
        <w:t>九、询问、质疑和投诉</w:t>
      </w:r>
      <w:bookmarkEnd w:id="102"/>
    </w:p>
    <w:p w14:paraId="5DC32546">
      <w:pPr>
        <w:spacing w:line="360" w:lineRule="auto"/>
        <w:rPr>
          <w:rFonts w:hint="eastAsia" w:ascii="宋体" w:hAnsi="宋体" w:eastAsia="宋体"/>
          <w:b/>
          <w:sz w:val="24"/>
          <w:lang w:eastAsia="zh-CN"/>
        </w:rPr>
      </w:pPr>
      <w:r>
        <w:rPr>
          <w:rFonts w:hint="eastAsia" w:ascii="宋体" w:hAnsi="宋体"/>
          <w:b/>
          <w:sz w:val="24"/>
        </w:rPr>
        <w:t>35.质疑的接收和处理参照《中华人民共和国政府采购法》 、《中华人民共和国政府采购法实施条例》 、《中华人民共和国财政部令第94号政府采购质疑和投诉办法》 、《财政部关于加强政府采购供应商投诉受理审查工作的通知》的规定办理（详细规定请自行查询中国政府采购网或四川政府采购网政策法规相关内容）。针对</w:t>
      </w:r>
      <w:r>
        <w:rPr>
          <w:rFonts w:hint="eastAsia" w:ascii="宋体" w:hAnsi="宋体"/>
          <w:b/>
          <w:sz w:val="24"/>
          <w:lang w:eastAsia="zh-CN"/>
        </w:rPr>
        <w:t>谈判</w:t>
      </w:r>
      <w:r>
        <w:rPr>
          <w:rFonts w:hint="eastAsia" w:ascii="宋体" w:hAnsi="宋体"/>
          <w:b/>
          <w:sz w:val="24"/>
        </w:rPr>
        <w:t>文件技术条款和专业商务条件的质疑由采购人进行回复，</w:t>
      </w:r>
      <w:r>
        <w:rPr>
          <w:rFonts w:hint="eastAsia" w:ascii="宋体" w:hAnsi="宋体"/>
          <w:b/>
          <w:sz w:val="24"/>
          <w:lang w:eastAsia="zh-CN"/>
        </w:rPr>
        <w:t>谈判</w:t>
      </w:r>
      <w:r>
        <w:rPr>
          <w:rFonts w:hint="eastAsia" w:ascii="宋体" w:hAnsi="宋体"/>
          <w:b/>
          <w:sz w:val="24"/>
        </w:rPr>
        <w:t>过程、成交结果提出的质疑由</w:t>
      </w:r>
      <w:r>
        <w:rPr>
          <w:rFonts w:hint="eastAsia" w:ascii="宋体" w:hAnsi="宋体"/>
          <w:b/>
          <w:sz w:val="24"/>
          <w:lang w:val="en-US" w:eastAsia="zh-CN"/>
        </w:rPr>
        <w:t>采购人</w:t>
      </w:r>
      <w:r>
        <w:rPr>
          <w:rFonts w:hint="eastAsia" w:ascii="宋体" w:hAnsi="宋体"/>
          <w:b/>
          <w:sz w:val="24"/>
        </w:rPr>
        <w:t>进行回复。供应商应在法定质疑期内一次性提出针对同一采购程序环节的质疑</w:t>
      </w:r>
      <w:r>
        <w:rPr>
          <w:rFonts w:hint="eastAsia" w:ascii="宋体" w:hAnsi="宋体"/>
          <w:b/>
          <w:sz w:val="24"/>
          <w:lang w:eastAsia="zh-CN"/>
        </w:rPr>
        <w:t>。</w:t>
      </w:r>
    </w:p>
    <w:p w14:paraId="5CD724B6">
      <w:pPr>
        <w:pStyle w:val="3"/>
        <w:keepNext w:val="0"/>
        <w:keepLines w:val="0"/>
        <w:spacing w:before="0" w:after="0" w:line="360" w:lineRule="auto"/>
        <w:jc w:val="center"/>
      </w:pPr>
      <w:bookmarkStart w:id="103" w:name="_Toc8386"/>
      <w:r>
        <w:rPr>
          <w:rFonts w:hint="eastAsia"/>
        </w:rPr>
        <w:t>十、其  他</w:t>
      </w:r>
      <w:bookmarkEnd w:id="103"/>
    </w:p>
    <w:p w14:paraId="3CBEF98E">
      <w:pPr>
        <w:spacing w:line="360" w:lineRule="auto"/>
        <w:rPr>
          <w:rFonts w:ascii="宋体" w:hAnsi="宋体"/>
          <w:b/>
          <w:sz w:val="24"/>
        </w:rPr>
      </w:pPr>
      <w:r>
        <w:rPr>
          <w:rFonts w:hint="eastAsia" w:ascii="宋体" w:hAnsi="宋体"/>
          <w:b/>
          <w:sz w:val="24"/>
        </w:rPr>
        <w:t>36.本谈判文件中所引相关法律制度规定，在政府采购中有变化的，参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14:paraId="0016F15D">
      <w:pPr>
        <w:pStyle w:val="40"/>
        <w:spacing w:before="0" w:after="0" w:line="360" w:lineRule="auto"/>
        <w:rPr>
          <w:color w:val="000000"/>
          <w:highlight w:val="yellow"/>
        </w:rPr>
      </w:pPr>
      <w:r>
        <w:br w:type="page"/>
      </w:r>
      <w:bookmarkStart w:id="104" w:name="_Toc504991345"/>
      <w:bookmarkStart w:id="105" w:name="_Toc25940"/>
      <w:bookmarkStart w:id="106" w:name="_Toc504988300"/>
      <w:bookmarkStart w:id="107" w:name="_Toc504987201"/>
      <w:r>
        <w:rPr>
          <w:rFonts w:hint="eastAsia"/>
          <w:color w:val="000000"/>
        </w:rPr>
        <w:t>第三章  供应商资格条件要求</w:t>
      </w:r>
      <w:bookmarkEnd w:id="104"/>
      <w:bookmarkEnd w:id="105"/>
      <w:bookmarkEnd w:id="106"/>
      <w:bookmarkEnd w:id="107"/>
    </w:p>
    <w:p w14:paraId="18BA8114">
      <w:pPr>
        <w:spacing w:line="360" w:lineRule="auto"/>
        <w:ind w:firstLine="540" w:firstLineChars="225"/>
        <w:rPr>
          <w:rFonts w:ascii="宋体" w:hAnsi="宋体"/>
          <w:sz w:val="24"/>
        </w:rPr>
      </w:pPr>
      <w:r>
        <w:rPr>
          <w:rFonts w:hint="eastAsia" w:ascii="宋体" w:hAnsi="宋体"/>
          <w:sz w:val="24"/>
        </w:rPr>
        <w:t>一、参加谈判的供应商应具备下列资格条件：</w:t>
      </w:r>
    </w:p>
    <w:p w14:paraId="553B8552">
      <w:pPr>
        <w:pageBreakBefore w:val="0"/>
        <w:kinsoku/>
        <w:wordWrap w:val="0"/>
        <w:overflowPunct/>
        <w:topLinePunct w:val="0"/>
        <w:bidi w:val="0"/>
        <w:spacing w:line="360" w:lineRule="auto"/>
        <w:ind w:firstLine="488"/>
        <w:jc w:val="left"/>
        <w:textAlignment w:val="auto"/>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1、具有独立承担民事责任的能力；</w:t>
      </w:r>
    </w:p>
    <w:p w14:paraId="4642FCE0">
      <w:pPr>
        <w:pageBreakBefore w:val="0"/>
        <w:kinsoku/>
        <w:wordWrap w:val="0"/>
        <w:overflowPunct/>
        <w:topLinePunct w:val="0"/>
        <w:bidi w:val="0"/>
        <w:spacing w:line="360" w:lineRule="auto"/>
        <w:ind w:firstLine="488"/>
        <w:jc w:val="left"/>
        <w:textAlignment w:val="auto"/>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2、具有良好的商业信誉和健全的财务会计制度；</w:t>
      </w:r>
    </w:p>
    <w:p w14:paraId="2892B4F3">
      <w:pPr>
        <w:pageBreakBefore w:val="0"/>
        <w:kinsoku/>
        <w:wordWrap w:val="0"/>
        <w:overflowPunct/>
        <w:topLinePunct w:val="0"/>
        <w:bidi w:val="0"/>
        <w:spacing w:line="360" w:lineRule="auto"/>
        <w:ind w:firstLine="488"/>
        <w:jc w:val="left"/>
        <w:textAlignment w:val="auto"/>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3、具有履行合同所必需的设备和专业技术能力；</w:t>
      </w:r>
    </w:p>
    <w:p w14:paraId="259130BF">
      <w:pPr>
        <w:pageBreakBefore w:val="0"/>
        <w:kinsoku/>
        <w:wordWrap w:val="0"/>
        <w:overflowPunct/>
        <w:topLinePunct w:val="0"/>
        <w:bidi w:val="0"/>
        <w:spacing w:line="360" w:lineRule="auto"/>
        <w:ind w:firstLine="488"/>
        <w:jc w:val="left"/>
        <w:textAlignment w:val="auto"/>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4、有依法缴纳税收和社会保障资金的良好记录；</w:t>
      </w:r>
    </w:p>
    <w:p w14:paraId="4FB007E4">
      <w:pPr>
        <w:pageBreakBefore w:val="0"/>
        <w:kinsoku/>
        <w:wordWrap w:val="0"/>
        <w:overflowPunct/>
        <w:topLinePunct w:val="0"/>
        <w:bidi w:val="0"/>
        <w:spacing w:line="360" w:lineRule="auto"/>
        <w:ind w:firstLine="488"/>
        <w:jc w:val="left"/>
        <w:textAlignment w:val="auto"/>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5、参加本次采购活动前三年内，在经营活动中没有重大违法记录；</w:t>
      </w:r>
    </w:p>
    <w:p w14:paraId="40347987">
      <w:pPr>
        <w:pageBreakBefore w:val="0"/>
        <w:kinsoku/>
        <w:wordWrap w:val="0"/>
        <w:overflowPunct/>
        <w:topLinePunct w:val="0"/>
        <w:bidi w:val="0"/>
        <w:spacing w:line="360" w:lineRule="auto"/>
        <w:ind w:firstLine="488"/>
        <w:jc w:val="left"/>
        <w:textAlignment w:val="auto"/>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6、本项目参加采购活动的供应商、法定代表人、主要负责人近三年内不得具有行贿犯罪记录；</w:t>
      </w:r>
    </w:p>
    <w:p w14:paraId="2EC1CA85">
      <w:pPr>
        <w:pageBreakBefore w:val="0"/>
        <w:kinsoku/>
        <w:wordWrap w:val="0"/>
        <w:overflowPunct/>
        <w:topLinePunct w:val="0"/>
        <w:bidi w:val="0"/>
        <w:spacing w:line="360" w:lineRule="auto"/>
        <w:ind w:firstLine="488"/>
        <w:jc w:val="left"/>
        <w:textAlignment w:val="auto"/>
        <w:rPr>
          <w:rFonts w:hint="eastAsia" w:ascii="宋体" w:hAnsi="宋体" w:cs="宋体"/>
          <w:color w:val="auto"/>
          <w:spacing w:val="2"/>
          <w:sz w:val="24"/>
          <w:szCs w:val="24"/>
          <w:lang w:val="en-US" w:eastAsia="zh-CN"/>
        </w:rPr>
      </w:pPr>
      <w:r>
        <w:rPr>
          <w:rFonts w:hint="eastAsia" w:ascii="宋体" w:hAnsi="宋体" w:cs="宋体"/>
          <w:color w:val="auto"/>
          <w:spacing w:val="2"/>
          <w:sz w:val="24"/>
          <w:szCs w:val="24"/>
          <w:lang w:val="en-US" w:eastAsia="zh-CN"/>
        </w:rPr>
        <w:t>7、本项目不接受联合体参加谈判活动。</w:t>
      </w:r>
    </w:p>
    <w:p w14:paraId="492DC91E">
      <w:pPr>
        <w:pStyle w:val="94"/>
        <w:ind w:firstLine="600" w:firstLineChars="250"/>
        <w:rPr>
          <w:rFonts w:ascii="宋体" w:hAnsi="宋体"/>
          <w:sz w:val="24"/>
          <w:szCs w:val="22"/>
        </w:rPr>
      </w:pPr>
      <w:r>
        <w:rPr>
          <w:rFonts w:hint="eastAsia" w:ascii="宋体" w:hAnsi="宋体"/>
          <w:sz w:val="24"/>
          <w:szCs w:val="22"/>
        </w:rPr>
        <w:t>二、严禁参加本次采购活动的供应商</w:t>
      </w:r>
    </w:p>
    <w:p w14:paraId="5CD7A9D6">
      <w:pPr>
        <w:pStyle w:val="94"/>
        <w:ind w:firstLine="600" w:firstLineChars="250"/>
        <w:rPr>
          <w:rFonts w:ascii="宋体" w:hAnsi="宋体"/>
          <w:sz w:val="24"/>
          <w:szCs w:val="22"/>
        </w:rPr>
      </w:pPr>
      <w:r>
        <w:rPr>
          <w:rFonts w:hint="eastAsia" w:ascii="宋体" w:hAnsi="宋体"/>
          <w:sz w:val="24"/>
          <w:szCs w:val="22"/>
        </w:rPr>
        <w:t>1.根据《财政部关于在政府采购活动中查询及使用信用记录的通知》（财库[</w:t>
      </w:r>
      <w:r>
        <w:rPr>
          <w:rFonts w:hint="eastAsia" w:ascii="宋体" w:hAnsi="宋体"/>
          <w:sz w:val="24"/>
          <w:szCs w:val="22"/>
          <w:lang w:eastAsia="zh-CN"/>
        </w:rPr>
        <w:t>202</w:t>
      </w:r>
      <w:r>
        <w:rPr>
          <w:rFonts w:hint="eastAsia" w:ascii="宋体" w:hAnsi="宋体"/>
          <w:sz w:val="24"/>
          <w:szCs w:val="22"/>
        </w:rPr>
        <w:t>6]125号）的要求，截止至</w:t>
      </w:r>
      <w:r>
        <w:rPr>
          <w:rFonts w:hint="eastAsia" w:ascii="宋体" w:hAnsi="宋体"/>
          <w:sz w:val="24"/>
          <w:szCs w:val="22"/>
          <w:lang w:eastAsia="zh-CN"/>
        </w:rPr>
        <w:t>谈判</w:t>
      </w:r>
      <w:r>
        <w:rPr>
          <w:rFonts w:hint="eastAsia" w:ascii="宋体" w:hAnsi="宋体"/>
          <w:sz w:val="24"/>
          <w:szCs w:val="22"/>
        </w:rPr>
        <w:t>截止时间当日</w:t>
      </w:r>
      <w:r>
        <w:rPr>
          <w:rFonts w:hint="eastAsia" w:ascii="宋体" w:hAnsi="宋体"/>
          <w:sz w:val="24"/>
          <w:szCs w:val="22"/>
          <w:lang w:val="en-US" w:eastAsia="zh-CN"/>
        </w:rPr>
        <w:t>被</w:t>
      </w:r>
      <w:r>
        <w:rPr>
          <w:rFonts w:hint="eastAsia" w:ascii="宋体" w:hAnsi="宋体"/>
          <w:sz w:val="24"/>
          <w:szCs w:val="22"/>
        </w:rPr>
        <w:t>“信用中国”网站（www.creditchina.gov.cn）、“</w:t>
      </w:r>
      <w:r>
        <w:rPr>
          <w:rFonts w:hint="eastAsia" w:ascii="宋体" w:hAnsi="宋体"/>
          <w:sz w:val="24"/>
          <w:szCs w:val="22"/>
          <w:lang w:eastAsia="zh-CN"/>
        </w:rPr>
        <w:t>中国政府采购网</w:t>
      </w:r>
      <w:r>
        <w:rPr>
          <w:rFonts w:hint="eastAsia" w:ascii="宋体" w:hAnsi="宋体"/>
          <w:sz w:val="24"/>
          <w:szCs w:val="22"/>
        </w:rPr>
        <w:t>”网站（www.ccgp.gov.cn）等</w:t>
      </w:r>
      <w:r>
        <w:rPr>
          <w:rFonts w:hint="eastAsia" w:ascii="宋体" w:hAnsi="宋体"/>
          <w:sz w:val="24"/>
          <w:szCs w:val="22"/>
          <w:lang w:val="en-US" w:eastAsia="zh-CN"/>
        </w:rPr>
        <w:t>平台</w:t>
      </w:r>
      <w:r>
        <w:rPr>
          <w:rFonts w:hint="eastAsia" w:ascii="宋体" w:hAnsi="宋体"/>
          <w:sz w:val="24"/>
          <w:szCs w:val="22"/>
        </w:rPr>
        <w:t>列入失信被执行人、重大税收违法案件当事人名单、政府采购严重违法失信行为记录名单中的供应商</w:t>
      </w:r>
      <w:r>
        <w:rPr>
          <w:rFonts w:hint="eastAsia" w:ascii="宋体" w:hAnsi="宋体"/>
          <w:sz w:val="24"/>
          <w:szCs w:val="22"/>
          <w:lang w:val="en-US" w:eastAsia="zh-CN"/>
        </w:rPr>
        <w:t>不得</w:t>
      </w:r>
      <w:r>
        <w:rPr>
          <w:rFonts w:hint="eastAsia" w:ascii="宋体" w:hAnsi="宋体"/>
          <w:sz w:val="24"/>
          <w:szCs w:val="22"/>
        </w:rPr>
        <w:t>参加本项目的采购活动。</w:t>
      </w:r>
    </w:p>
    <w:p w14:paraId="722DE6E2">
      <w:pPr>
        <w:spacing w:line="360" w:lineRule="auto"/>
        <w:ind w:firstLine="361" w:firstLineChars="200"/>
        <w:rPr>
          <w:rFonts w:hint="eastAsia" w:hAnsi="宋体" w:cs="宋体"/>
          <w:sz w:val="18"/>
          <w:szCs w:val="18"/>
        </w:rPr>
      </w:pPr>
      <w:r>
        <w:rPr>
          <w:rFonts w:hint="eastAsia" w:hAnsi="宋体" w:cs="宋体"/>
          <w:b/>
          <w:bCs/>
          <w:sz w:val="18"/>
          <w:szCs w:val="18"/>
        </w:rPr>
        <w:t>注：</w:t>
      </w:r>
      <w:r>
        <w:rPr>
          <w:rFonts w:hint="eastAsia" w:hAnsi="宋体" w:cs="宋体"/>
          <w:sz w:val="18"/>
          <w:szCs w:val="18"/>
        </w:rPr>
        <w:t>1、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p>
    <w:p w14:paraId="6141EE3B">
      <w:pPr>
        <w:spacing w:line="360" w:lineRule="auto"/>
        <w:ind w:firstLine="360" w:firstLineChars="200"/>
        <w:rPr>
          <w:rFonts w:hint="eastAsia" w:hAnsi="宋体" w:cs="宋体"/>
          <w:sz w:val="18"/>
          <w:szCs w:val="18"/>
        </w:rPr>
      </w:pPr>
      <w:r>
        <w:rPr>
          <w:rFonts w:hint="eastAsia" w:hAnsi="宋体" w:cs="宋体"/>
          <w:sz w:val="18"/>
          <w:szCs w:val="18"/>
        </w:rPr>
        <w:t>2、本项目确定供应商重大违法记录中较大数额罚款的金额标准是：财库〔2022)3号文件中关于“较大数额罚款”认定为200万元以上的罚款，法律、行政法规以及国务院有关部门明确规定相关领域“较大数额罚款”标准高于200万元的，从其规定。</w:t>
      </w:r>
    </w:p>
    <w:p w14:paraId="70616B3A">
      <w:pPr>
        <w:spacing w:line="360" w:lineRule="auto"/>
        <w:ind w:firstLine="360" w:firstLineChars="200"/>
        <w:rPr>
          <w:rFonts w:hint="eastAsia" w:hAnsi="宋体" w:cs="宋体"/>
          <w:sz w:val="18"/>
          <w:szCs w:val="18"/>
        </w:rPr>
      </w:pPr>
      <w:r>
        <w:rPr>
          <w:rFonts w:hint="eastAsia" w:hAnsi="宋体" w:cs="宋体"/>
          <w:sz w:val="18"/>
          <w:szCs w:val="18"/>
        </w:rPr>
        <w:t>3、供应商在参加采购活动前，被纳入法院、市场监管部门、税务部门、银行认定的失信名单且在有效期内，或者在前三年采购合同履约过程中及其他经营活动履约过程中未依法履约被有关行政部门处罚(处理)的，本项目不认定其具有良好的商业信誉。若提供虚假承诺将被视为虚假响应,取消成交资格</w:t>
      </w:r>
    </w:p>
    <w:p w14:paraId="2ABE8801">
      <w:pPr>
        <w:rPr>
          <w:rFonts w:hint="eastAsia"/>
        </w:rPr>
      </w:pPr>
      <w:bookmarkStart w:id="108" w:name="_Toc504987202"/>
      <w:bookmarkStart w:id="109" w:name="_Toc504988301"/>
      <w:bookmarkStart w:id="110" w:name="_Toc504991346"/>
      <w:r>
        <w:rPr>
          <w:rFonts w:hint="eastAsia"/>
        </w:rPr>
        <w:br w:type="page"/>
      </w:r>
    </w:p>
    <w:p w14:paraId="3CB047AE">
      <w:pPr>
        <w:pStyle w:val="40"/>
        <w:spacing w:before="0" w:after="0" w:line="360" w:lineRule="auto"/>
      </w:pPr>
      <w:bookmarkStart w:id="111" w:name="_Toc29404"/>
      <w:r>
        <w:rPr>
          <w:rFonts w:hint="eastAsia"/>
        </w:rPr>
        <w:t>第四章  供应商资格证明材料</w:t>
      </w:r>
      <w:bookmarkEnd w:id="108"/>
      <w:bookmarkEnd w:id="109"/>
      <w:bookmarkEnd w:id="110"/>
      <w:bookmarkEnd w:id="111"/>
    </w:p>
    <w:p w14:paraId="066EBBCB">
      <w:pPr>
        <w:spacing w:line="360" w:lineRule="auto"/>
        <w:ind w:firstLine="470" w:firstLineChars="196"/>
        <w:rPr>
          <w:rFonts w:ascii="宋体" w:hAnsi="宋体"/>
          <w:sz w:val="24"/>
        </w:rPr>
      </w:pPr>
      <w:r>
        <w:rPr>
          <w:rFonts w:ascii="宋体" w:hAnsi="宋体"/>
          <w:sz w:val="24"/>
        </w:rPr>
        <w:t>一、供应商应提交的资格证明材料</w:t>
      </w:r>
    </w:p>
    <w:p w14:paraId="300629BF">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）具有独立承担民事责任的能力；</w:t>
      </w:r>
      <w:r>
        <w:rPr>
          <w:rFonts w:hint="eastAsia" w:hAnsi="宋体"/>
          <w:sz w:val="24"/>
        </w:rPr>
        <w:t>【</w:t>
      </w:r>
      <w:r>
        <w:rPr>
          <w:rFonts w:hint="eastAsia" w:hAnsi="宋体"/>
          <w:b/>
          <w:bCs/>
          <w:sz w:val="24"/>
        </w:rPr>
        <w:t>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r>
        <w:rPr>
          <w:rFonts w:hint="eastAsia" w:hAnsi="宋体"/>
          <w:sz w:val="24"/>
        </w:rPr>
        <w:t>】</w:t>
      </w:r>
    </w:p>
    <w:p w14:paraId="795729D3">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）具有良好的商业信誉；</w:t>
      </w:r>
      <w:r>
        <w:rPr>
          <w:rFonts w:hint="eastAsia" w:hAnsi="宋体"/>
          <w:sz w:val="24"/>
        </w:rPr>
        <w:t>【</w:t>
      </w:r>
      <w:r>
        <w:rPr>
          <w:rFonts w:hint="eastAsia" w:hAnsi="宋体"/>
          <w:b/>
          <w:bCs/>
          <w:sz w:val="24"/>
        </w:rPr>
        <w:t>注：可提供承诺函，详见第六章格式1-3。</w:t>
      </w:r>
      <w:r>
        <w:rPr>
          <w:rFonts w:hint="eastAsia" w:hAnsi="宋体"/>
          <w:sz w:val="24"/>
        </w:rPr>
        <w:t>】</w:t>
      </w:r>
    </w:p>
    <w:p w14:paraId="6006D820">
      <w:pPr>
        <w:spacing w:line="360" w:lineRule="auto"/>
        <w:ind w:firstLine="480" w:firstLineChars="200"/>
        <w:rPr>
          <w:rFonts w:hint="eastAsia" w:ascii="Times New Roman" w:hAnsi="宋体" w:eastAsia="宋体" w:cs="Times New Roman"/>
          <w:b/>
          <w:bCs/>
          <w:sz w:val="24"/>
        </w:rPr>
      </w:pPr>
      <w:r>
        <w:rPr>
          <w:rFonts w:hint="eastAsia" w:ascii="宋体" w:hAnsi="宋体"/>
          <w:sz w:val="24"/>
        </w:rPr>
        <w:t>（</w:t>
      </w:r>
      <w:r>
        <w:rPr>
          <w:rFonts w:ascii="宋体" w:hAnsi="宋体"/>
          <w:sz w:val="24"/>
        </w:rPr>
        <w:t>3</w:t>
      </w:r>
      <w:r>
        <w:rPr>
          <w:rFonts w:hint="eastAsia" w:ascii="宋体" w:hAnsi="宋体"/>
          <w:sz w:val="24"/>
        </w:rPr>
        <w:t>）具有健全的财务会计制度；</w:t>
      </w:r>
      <w:r>
        <w:rPr>
          <w:rFonts w:hint="eastAsia" w:hAnsi="宋体"/>
          <w:sz w:val="24"/>
        </w:rPr>
        <w:t>【</w:t>
      </w:r>
      <w:r>
        <w:rPr>
          <w:rFonts w:hint="eastAsia" w:hAnsi="宋体"/>
          <w:b/>
          <w:bCs/>
          <w:sz w:val="24"/>
        </w:rPr>
        <w:t>注：可提供承诺函，详见第六章格式1-3。</w:t>
      </w:r>
      <w:r>
        <w:rPr>
          <w:rFonts w:hint="eastAsia" w:hAnsi="宋体"/>
          <w:sz w:val="24"/>
        </w:rPr>
        <w:t>】</w:t>
      </w:r>
      <w:r>
        <w:rPr>
          <w:rFonts w:hint="eastAsia" w:ascii="Times New Roman" w:hAnsi="宋体" w:eastAsia="宋体" w:cs="Times New Roman"/>
          <w:b/>
          <w:bCs/>
          <w:sz w:val="24"/>
        </w:rPr>
        <w:t>；</w:t>
      </w:r>
    </w:p>
    <w:p w14:paraId="00D2E906">
      <w:pPr>
        <w:spacing w:line="360" w:lineRule="auto"/>
        <w:ind w:firstLine="480" w:firstLineChars="200"/>
        <w:rPr>
          <w:rFonts w:hAnsi="宋体"/>
          <w:sz w:val="24"/>
        </w:rPr>
      </w:pPr>
      <w:r>
        <w:rPr>
          <w:rFonts w:hint="eastAsia" w:hAnsi="宋体"/>
          <w:sz w:val="24"/>
        </w:rPr>
        <w:t>（4）</w:t>
      </w:r>
      <w:r>
        <w:rPr>
          <w:rFonts w:hint="eastAsia" w:ascii="宋体" w:hAnsi="宋体"/>
          <w:sz w:val="24"/>
        </w:rPr>
        <w:t>具有履行合同所必须的设备和专业技术能力；</w:t>
      </w:r>
      <w:r>
        <w:rPr>
          <w:rFonts w:hint="eastAsia" w:hAnsi="宋体"/>
          <w:sz w:val="24"/>
        </w:rPr>
        <w:t>【</w:t>
      </w:r>
      <w:r>
        <w:rPr>
          <w:rFonts w:hint="eastAsia" w:hAnsi="宋体"/>
          <w:b/>
          <w:bCs/>
          <w:sz w:val="24"/>
        </w:rPr>
        <w:t>注：可提供承诺函，详见第六章格式1-3。</w:t>
      </w:r>
      <w:r>
        <w:rPr>
          <w:rFonts w:hint="eastAsia" w:hAnsi="宋体"/>
          <w:sz w:val="24"/>
        </w:rPr>
        <w:t>】</w:t>
      </w:r>
    </w:p>
    <w:p w14:paraId="6C4D3FA3">
      <w:pPr>
        <w:spacing w:line="360" w:lineRule="auto"/>
        <w:ind w:firstLine="480"/>
        <w:rPr>
          <w:rFonts w:ascii="宋体" w:hAnsi="宋体"/>
          <w:sz w:val="24"/>
        </w:rPr>
      </w:pPr>
      <w:r>
        <w:rPr>
          <w:rFonts w:hint="eastAsia" w:ascii="宋体" w:hAnsi="宋体"/>
          <w:sz w:val="24"/>
        </w:rPr>
        <w:t>（5）具有依法缴纳税收和社会保障资金的良好记录；</w:t>
      </w:r>
      <w:r>
        <w:rPr>
          <w:rFonts w:hint="eastAsia" w:hAnsi="宋体"/>
          <w:sz w:val="24"/>
        </w:rPr>
        <w:t>【</w:t>
      </w:r>
      <w:r>
        <w:rPr>
          <w:rFonts w:hint="eastAsia" w:ascii="宋体" w:hAnsi="宋体" w:cs="宋体"/>
          <w:b/>
          <w:bCs/>
          <w:sz w:val="24"/>
        </w:rPr>
        <w:t>注：</w:t>
      </w:r>
      <w:r>
        <w:rPr>
          <w:rFonts w:hint="eastAsia" w:hAnsi="宋体"/>
          <w:b/>
          <w:bCs/>
          <w:sz w:val="24"/>
        </w:rPr>
        <w:t>可提供承诺函，详见第六章格式1-3。</w:t>
      </w:r>
      <w:r>
        <w:rPr>
          <w:rFonts w:hint="eastAsia" w:hAnsi="宋体"/>
          <w:sz w:val="24"/>
        </w:rPr>
        <w:t>】</w:t>
      </w:r>
    </w:p>
    <w:p w14:paraId="7E883812">
      <w:pPr>
        <w:spacing w:line="360" w:lineRule="auto"/>
        <w:ind w:firstLine="480"/>
        <w:rPr>
          <w:rFonts w:ascii="宋体" w:hAnsi="宋体"/>
          <w:sz w:val="24"/>
          <w:szCs w:val="22"/>
        </w:rPr>
      </w:pPr>
      <w:r>
        <w:rPr>
          <w:rFonts w:hint="eastAsia" w:ascii="宋体" w:hAnsi="宋体"/>
          <w:sz w:val="24"/>
        </w:rPr>
        <w:t>（6）</w:t>
      </w:r>
      <w:r>
        <w:rPr>
          <w:rFonts w:hint="eastAsia" w:ascii="宋体" w:hAnsi="宋体"/>
          <w:sz w:val="24"/>
          <w:szCs w:val="22"/>
        </w:rPr>
        <w:t>参加本次采购活动前三年内，在经营活动中没有重大违法记录。</w:t>
      </w:r>
      <w:r>
        <w:rPr>
          <w:rFonts w:hint="eastAsia" w:hAnsi="宋体"/>
          <w:sz w:val="24"/>
        </w:rPr>
        <w:t>【</w:t>
      </w:r>
      <w:r>
        <w:rPr>
          <w:rFonts w:hint="eastAsia" w:hAnsi="宋体"/>
          <w:b/>
          <w:bCs/>
          <w:sz w:val="24"/>
        </w:rPr>
        <w:t>注：可提供承诺函，详见第六章格式1-3。</w:t>
      </w:r>
      <w:r>
        <w:rPr>
          <w:rFonts w:hint="eastAsia" w:hAnsi="宋体"/>
          <w:sz w:val="24"/>
        </w:rPr>
        <w:t>】</w:t>
      </w:r>
    </w:p>
    <w:p w14:paraId="347EAA38">
      <w:pPr>
        <w:spacing w:line="360" w:lineRule="auto"/>
        <w:ind w:firstLine="480"/>
        <w:rPr>
          <w:rFonts w:ascii="宋体" w:hAnsi="宋体"/>
          <w:sz w:val="24"/>
        </w:rPr>
      </w:pPr>
      <w:r>
        <w:rPr>
          <w:rFonts w:hint="eastAsia" w:ascii="宋体" w:hAnsi="宋体"/>
          <w:sz w:val="24"/>
        </w:rPr>
        <w:t>（7）本项目参加采购活动的供应商在前三年内不得具有行贿犯罪记录。</w:t>
      </w:r>
      <w:r>
        <w:rPr>
          <w:rFonts w:hint="eastAsia" w:hAnsi="宋体"/>
          <w:sz w:val="24"/>
        </w:rPr>
        <w:t>【</w:t>
      </w:r>
      <w:r>
        <w:rPr>
          <w:rFonts w:hint="eastAsia" w:ascii="宋体" w:hAnsi="宋体"/>
          <w:b/>
          <w:bCs/>
          <w:sz w:val="24"/>
        </w:rPr>
        <w:t>注：</w:t>
      </w:r>
      <w:r>
        <w:rPr>
          <w:rFonts w:hint="eastAsia" w:hAnsi="宋体"/>
          <w:b/>
          <w:bCs/>
          <w:sz w:val="24"/>
        </w:rPr>
        <w:t>可提供承诺函，详见第六章格式1-3。</w:t>
      </w:r>
      <w:r>
        <w:rPr>
          <w:rFonts w:hint="eastAsia" w:hAnsi="宋体"/>
          <w:sz w:val="24"/>
        </w:rPr>
        <w:t>】</w:t>
      </w:r>
    </w:p>
    <w:p w14:paraId="12DAE9E7">
      <w:pPr>
        <w:spacing w:line="360" w:lineRule="auto"/>
        <w:ind w:firstLine="480"/>
        <w:rPr>
          <w:rFonts w:ascii="宋体" w:hAnsi="宋体"/>
          <w:sz w:val="24"/>
        </w:rPr>
      </w:pPr>
      <w:r>
        <w:rPr>
          <w:rFonts w:hint="eastAsia" w:ascii="宋体" w:hAnsi="宋体"/>
          <w:sz w:val="24"/>
        </w:rPr>
        <w:t>（8）具备法律、行政法规规定的其他条件的证明材料；</w:t>
      </w:r>
      <w:r>
        <w:rPr>
          <w:rFonts w:hint="eastAsia" w:hAnsi="宋体"/>
          <w:sz w:val="24"/>
        </w:rPr>
        <w:t>【</w:t>
      </w:r>
      <w:r>
        <w:rPr>
          <w:rFonts w:hint="eastAsia" w:ascii="宋体" w:hAnsi="宋体"/>
          <w:b/>
          <w:bCs/>
          <w:sz w:val="24"/>
        </w:rPr>
        <w:t>注：可提供承诺函，详见第六章格式1-3</w:t>
      </w:r>
      <w:r>
        <w:rPr>
          <w:rFonts w:hint="eastAsia" w:hAnsi="宋体"/>
          <w:sz w:val="24"/>
        </w:rPr>
        <w:t>】</w:t>
      </w:r>
    </w:p>
    <w:p w14:paraId="28E9BF51">
      <w:pPr>
        <w:spacing w:line="360" w:lineRule="auto"/>
        <w:ind w:firstLine="480"/>
        <w:rPr>
          <w:rFonts w:ascii="宋体" w:hAnsi="宋体"/>
          <w:sz w:val="24"/>
        </w:rPr>
      </w:pPr>
      <w:r>
        <w:rPr>
          <w:rFonts w:hint="eastAsia" w:ascii="宋体" w:hAnsi="宋体"/>
          <w:sz w:val="24"/>
        </w:rPr>
        <w:t>（9）法定代表人/单位负责人身份证明书原件及法定代表人/单位负责人有效身份证复印件。</w:t>
      </w:r>
    </w:p>
    <w:p w14:paraId="10458E6E">
      <w:pPr>
        <w:spacing w:line="360" w:lineRule="auto"/>
        <w:ind w:firstLine="480"/>
        <w:rPr>
          <w:rFonts w:ascii="宋体" w:hAnsi="宋体"/>
          <w:sz w:val="24"/>
        </w:rPr>
      </w:pPr>
      <w:r>
        <w:rPr>
          <w:rFonts w:hint="eastAsia" w:ascii="宋体" w:hAnsi="宋体"/>
          <w:sz w:val="24"/>
        </w:rPr>
        <w:t>（10）法定代表人/单位负责人授权书原件；</w:t>
      </w:r>
      <w:r>
        <w:rPr>
          <w:rFonts w:hint="eastAsia" w:hAnsi="宋体"/>
          <w:sz w:val="24"/>
        </w:rPr>
        <w:t>【</w:t>
      </w:r>
      <w:r>
        <w:rPr>
          <w:rFonts w:hint="eastAsia" w:ascii="宋体" w:hAnsi="宋体"/>
          <w:sz w:val="24"/>
        </w:rPr>
        <w:t>注：</w:t>
      </w:r>
      <w:r>
        <w:rPr>
          <w:rFonts w:hint="eastAsia" w:ascii="宋体" w:hAnsi="宋体"/>
          <w:b/>
          <w:bCs/>
          <w:sz w:val="24"/>
        </w:rPr>
        <w:t>①附法定代表人/单位负责人身份证明材料复印件；②法定代表人/单位负责人参与谈判时不需要提供</w:t>
      </w:r>
      <w:r>
        <w:rPr>
          <w:rFonts w:hint="eastAsia" w:hAnsi="宋体"/>
          <w:sz w:val="24"/>
        </w:rPr>
        <w:t>】</w:t>
      </w:r>
    </w:p>
    <w:p w14:paraId="1BD2956C">
      <w:pPr>
        <w:pageBreakBefore w:val="0"/>
        <w:kinsoku/>
        <w:wordWrap w:val="0"/>
        <w:overflowPunct/>
        <w:topLinePunct w:val="0"/>
        <w:bidi w:val="0"/>
        <w:spacing w:line="360" w:lineRule="auto"/>
        <w:ind w:firstLine="488"/>
        <w:jc w:val="left"/>
        <w:textAlignment w:val="auto"/>
        <w:rPr>
          <w:rFonts w:hint="eastAsia" w:ascii="宋体" w:hAnsi="宋体"/>
          <w:sz w:val="24"/>
        </w:rPr>
      </w:pPr>
      <w:r>
        <w:rPr>
          <w:rFonts w:hint="eastAsia" w:ascii="宋体" w:hAnsi="宋体"/>
          <w:sz w:val="24"/>
        </w:rPr>
        <w:t>（11）被授权代表的身份证复印件；</w:t>
      </w:r>
    </w:p>
    <w:p w14:paraId="36B29792">
      <w:pPr>
        <w:spacing w:line="360" w:lineRule="auto"/>
        <w:ind w:firstLine="480"/>
        <w:rPr>
          <w:rFonts w:ascii="宋体" w:hAnsi="宋体"/>
          <w:sz w:val="24"/>
        </w:rPr>
      </w:pPr>
      <w:r>
        <w:rPr>
          <w:rFonts w:hint="eastAsia" w:ascii="宋体" w:hAnsi="宋体"/>
          <w:sz w:val="24"/>
          <w:lang w:eastAsia="zh-CN"/>
        </w:rPr>
        <w:t>（</w:t>
      </w:r>
      <w:r>
        <w:rPr>
          <w:rFonts w:hint="eastAsia" w:ascii="宋体" w:hAnsi="宋体"/>
          <w:sz w:val="24"/>
          <w:lang w:val="en-US" w:eastAsia="zh-CN"/>
        </w:rPr>
        <w:t>12</w:t>
      </w:r>
      <w:r>
        <w:rPr>
          <w:rFonts w:hint="eastAsia" w:ascii="宋体" w:hAnsi="宋体"/>
          <w:sz w:val="24"/>
          <w:lang w:eastAsia="zh-CN"/>
        </w:rPr>
        <w:t>）</w:t>
      </w:r>
      <w:r>
        <w:rPr>
          <w:rFonts w:hint="eastAsia" w:ascii="宋体" w:hAnsi="宋体" w:cs="宋体"/>
          <w:color w:val="auto"/>
          <w:spacing w:val="2"/>
          <w:sz w:val="24"/>
          <w:szCs w:val="24"/>
          <w:lang w:val="en-US" w:eastAsia="zh-CN"/>
        </w:rPr>
        <w:t>本项目不接受联合体参加谈判活动。</w:t>
      </w:r>
      <w:r>
        <w:rPr>
          <w:rFonts w:hint="eastAsia" w:hAnsi="宋体"/>
          <w:sz w:val="24"/>
        </w:rPr>
        <w:t>【</w:t>
      </w:r>
      <w:r>
        <w:rPr>
          <w:rFonts w:hint="eastAsia" w:ascii="宋体" w:hAnsi="宋体"/>
          <w:b/>
          <w:bCs/>
          <w:sz w:val="24"/>
        </w:rPr>
        <w:t>注：</w:t>
      </w:r>
      <w:r>
        <w:rPr>
          <w:rFonts w:hint="eastAsia" w:ascii="宋体" w:hAnsi="宋体"/>
          <w:b/>
          <w:bCs/>
          <w:sz w:val="24"/>
          <w:lang w:eastAsia="zh-CN"/>
        </w:rPr>
        <w:t>提供承诺函</w:t>
      </w:r>
      <w:r>
        <w:rPr>
          <w:rFonts w:hint="eastAsia" w:hAnsi="宋体"/>
          <w:sz w:val="24"/>
        </w:rPr>
        <w:t>】</w:t>
      </w:r>
    </w:p>
    <w:p w14:paraId="438F5545">
      <w:pPr>
        <w:spacing w:line="360" w:lineRule="auto"/>
        <w:ind w:firstLine="180" w:firstLineChars="100"/>
        <w:rPr>
          <w:rFonts w:ascii="宋体" w:hAnsi="宋体"/>
          <w:sz w:val="18"/>
          <w:szCs w:val="18"/>
        </w:rPr>
      </w:pPr>
      <w:r>
        <w:rPr>
          <w:rFonts w:hint="eastAsia" w:ascii="宋体" w:hAnsi="宋体"/>
          <w:sz w:val="18"/>
          <w:szCs w:val="18"/>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14:paraId="7C356D59">
      <w:pPr>
        <w:spacing w:line="360" w:lineRule="auto"/>
        <w:ind w:left="240"/>
        <w:rPr>
          <w:rFonts w:ascii="宋体" w:hAnsi="宋体"/>
          <w:sz w:val="18"/>
          <w:szCs w:val="18"/>
        </w:rPr>
      </w:pPr>
      <w:r>
        <w:rPr>
          <w:rFonts w:hint="eastAsia" w:ascii="宋体" w:hAnsi="宋体"/>
          <w:sz w:val="18"/>
          <w:szCs w:val="18"/>
        </w:rPr>
        <w:t>2.本章要求提供的相关证明材料应当结合采购项目具体情况和供应商的组织机构性质确定，不得一概而论。</w:t>
      </w:r>
    </w:p>
    <w:p w14:paraId="56AE5300">
      <w:pPr>
        <w:spacing w:line="360" w:lineRule="auto"/>
        <w:ind w:firstLine="180" w:firstLineChars="100"/>
        <w:rPr>
          <w:rFonts w:hint="eastAsia" w:ascii="宋体" w:hAnsi="宋体"/>
          <w:sz w:val="18"/>
          <w:szCs w:val="18"/>
        </w:rPr>
      </w:pPr>
      <w:r>
        <w:rPr>
          <w:rFonts w:hint="eastAsia" w:ascii="宋体" w:hAnsi="宋体"/>
          <w:sz w:val="18"/>
          <w:szCs w:val="18"/>
        </w:rPr>
        <w:t>3.供应商提供的以上资格证明材料为复印件的均应加盖供应商公章(鲜章)。</w:t>
      </w:r>
    </w:p>
    <w:p w14:paraId="13926DCE">
      <w:pPr>
        <w:spacing w:line="360" w:lineRule="auto"/>
        <w:ind w:left="240"/>
        <w:rPr>
          <w:rFonts w:ascii="宋体" w:hAnsi="宋体"/>
          <w:sz w:val="18"/>
          <w:szCs w:val="18"/>
        </w:rPr>
      </w:pPr>
      <w:r>
        <w:rPr>
          <w:rFonts w:hint="eastAsia" w:ascii="宋体" w:hAnsi="宋体"/>
          <w:sz w:val="18"/>
          <w:szCs w:val="18"/>
        </w:rPr>
        <w:t>4.</w:t>
      </w:r>
      <w:r>
        <w:rPr>
          <w:rFonts w:hint="eastAsia"/>
          <w:sz w:val="18"/>
          <w:szCs w:val="18"/>
        </w:rPr>
        <w:t xml:space="preserve"> </w:t>
      </w:r>
      <w:r>
        <w:rPr>
          <w:rFonts w:hint="eastAsia" w:ascii="宋体" w:hAnsi="宋体"/>
          <w:sz w:val="18"/>
          <w:szCs w:val="18"/>
        </w:rPr>
        <w:t>本章要求按第六章格式1-3承诺函格式及要求提供书面承诺函原件的条款只需提供一份涵盖所有内容的承诺函，不需多份提供。</w:t>
      </w:r>
    </w:p>
    <w:p w14:paraId="654A5840">
      <w:pPr>
        <w:pStyle w:val="40"/>
        <w:spacing w:before="0" w:after="0" w:line="360" w:lineRule="auto"/>
        <w:rPr>
          <w:rFonts w:ascii="宋体" w:hAnsi="宋体"/>
          <w:color w:val="000000"/>
          <w:sz w:val="28"/>
          <w:szCs w:val="28"/>
        </w:rPr>
      </w:pPr>
      <w:r>
        <w:rPr>
          <w:rFonts w:hint="eastAsia"/>
        </w:rPr>
        <w:br w:type="page"/>
      </w:r>
      <w:bookmarkStart w:id="112" w:name="_Toc504987203"/>
      <w:bookmarkStart w:id="113" w:name="_Toc504991347"/>
      <w:bookmarkStart w:id="114" w:name="_Toc14399"/>
      <w:bookmarkStart w:id="115" w:name="_Toc504988302"/>
      <w:r>
        <w:rPr>
          <w:rFonts w:hint="eastAsia"/>
        </w:rPr>
        <w:t>第五章  采购项目技术、服务、</w:t>
      </w:r>
      <w:bookmarkStart w:id="116" w:name="_Hlk518391207"/>
      <w:r>
        <w:rPr>
          <w:rFonts w:hint="eastAsia"/>
        </w:rPr>
        <w:t>采购合同内容条款及其他商务要求</w:t>
      </w:r>
      <w:bookmarkEnd w:id="112"/>
      <w:bookmarkEnd w:id="113"/>
      <w:bookmarkEnd w:id="114"/>
      <w:bookmarkEnd w:id="115"/>
      <w:bookmarkEnd w:id="116"/>
    </w:p>
    <w:bookmarkEnd w:id="21"/>
    <w:bookmarkEnd w:id="22"/>
    <w:bookmarkEnd w:id="23"/>
    <w:bookmarkEnd w:id="24"/>
    <w:bookmarkEnd w:id="25"/>
    <w:p w14:paraId="59BA4460">
      <w:pPr>
        <w:spacing w:line="360" w:lineRule="auto"/>
        <w:ind w:firstLine="482"/>
        <w:rPr>
          <w:rFonts w:ascii="宋体" w:hAnsi="宋体"/>
          <w:b/>
          <w:kern w:val="1"/>
          <w:sz w:val="28"/>
        </w:rPr>
      </w:pPr>
      <w:bookmarkStart w:id="117" w:name="_Toc504987204"/>
      <w:bookmarkStart w:id="118" w:name="_Toc504991348"/>
      <w:bookmarkStart w:id="119" w:name="_Toc504988303"/>
      <w:bookmarkStart w:id="120" w:name="_Toc183682369"/>
      <w:bookmarkStart w:id="121" w:name="_Toc217446057"/>
      <w:bookmarkStart w:id="122" w:name="_Toc183582232"/>
      <w:r>
        <w:rPr>
          <w:rFonts w:hint="eastAsia" w:ascii="宋体" w:hAnsi="宋体"/>
          <w:b/>
          <w:kern w:val="1"/>
          <w:sz w:val="28"/>
        </w:rPr>
        <w:t>一、项目概况</w:t>
      </w:r>
    </w:p>
    <w:p w14:paraId="64B26CBF">
      <w:pPr>
        <w:spacing w:line="360" w:lineRule="auto"/>
        <w:ind w:firstLine="482"/>
        <w:rPr>
          <w:rFonts w:hint="eastAsia" w:ascii="宋体" w:hAnsi="宋体" w:cs="宋体"/>
          <w:kern w:val="1"/>
          <w:sz w:val="24"/>
        </w:rPr>
      </w:pPr>
      <w:r>
        <w:rPr>
          <w:rFonts w:hint="eastAsia" w:ascii="宋体" w:hAnsi="宋体" w:cs="宋体"/>
          <w:kern w:val="1"/>
          <w:sz w:val="24"/>
          <w:lang w:val="en-US" w:eastAsia="zh-CN"/>
        </w:rPr>
        <w:t>成都二中新校区采购图书一批</w:t>
      </w:r>
      <w:r>
        <w:rPr>
          <w:rFonts w:hint="eastAsia" w:ascii="宋体" w:hAnsi="宋体" w:cs="宋体"/>
          <w:kern w:val="1"/>
          <w:sz w:val="24"/>
        </w:rPr>
        <w:t>。</w:t>
      </w:r>
    </w:p>
    <w:p w14:paraId="661FB515">
      <w:pPr>
        <w:spacing w:line="360" w:lineRule="auto"/>
        <w:ind w:firstLine="482"/>
        <w:rPr>
          <w:rFonts w:ascii="宋体" w:hAnsi="宋体" w:cs="宋体"/>
          <w:color w:val="0D0D0D"/>
          <w:sz w:val="24"/>
        </w:rPr>
      </w:pPr>
      <w:r>
        <w:rPr>
          <w:rFonts w:hint="eastAsia" w:ascii="宋体" w:hAnsi="宋体"/>
          <w:b/>
          <w:kern w:val="1"/>
          <w:sz w:val="28"/>
        </w:rPr>
        <w:t>★</w:t>
      </w:r>
      <w:r>
        <w:rPr>
          <w:rFonts w:hint="eastAsia" w:ascii="宋体" w:hAnsi="宋体"/>
          <w:b/>
          <w:kern w:val="1"/>
          <w:sz w:val="28"/>
          <w:lang w:eastAsia="zh-CN"/>
        </w:rPr>
        <w:t>二、</w:t>
      </w:r>
      <w:r>
        <w:rPr>
          <w:rFonts w:hint="eastAsia" w:ascii="宋体" w:hAnsi="宋体"/>
          <w:b/>
          <w:kern w:val="1"/>
          <w:sz w:val="28"/>
          <w:lang w:val="en-US" w:eastAsia="zh-CN"/>
        </w:rPr>
        <w:t>采购</w:t>
      </w:r>
      <w:r>
        <w:rPr>
          <w:rFonts w:hint="eastAsia" w:ascii="宋体" w:hAnsi="宋体"/>
          <w:b/>
          <w:kern w:val="1"/>
          <w:sz w:val="28"/>
          <w:lang w:eastAsia="zh-CN"/>
        </w:rPr>
        <w:t>内容及</w:t>
      </w:r>
      <w:r>
        <w:rPr>
          <w:rFonts w:hint="eastAsia" w:ascii="宋体" w:hAnsi="宋体"/>
          <w:b/>
          <w:kern w:val="1"/>
          <w:sz w:val="28"/>
        </w:rPr>
        <w:t>要求</w:t>
      </w:r>
    </w:p>
    <w:p w14:paraId="4236BAAC">
      <w:pPr>
        <w:spacing w:line="360" w:lineRule="auto"/>
        <w:ind w:firstLine="480" w:firstLineChars="200"/>
        <w:rPr>
          <w:rFonts w:hint="eastAsia"/>
          <w:sz w:val="24"/>
          <w:szCs w:val="24"/>
        </w:rPr>
      </w:pPr>
      <w:r>
        <w:rPr>
          <w:rFonts w:hint="eastAsia"/>
          <w:sz w:val="24"/>
          <w:szCs w:val="24"/>
        </w:rPr>
        <w:t>1.所有的图书为《全国中小学图书馆（室）推荐书目》 推荐或各大出版社出版的正版图书，并满足《图书质量  管理规定》、《出版管理条例》、《产品质量法》、《印  刷产品质量评价和分等导则》的要求；图书内容、纸张  质量符合中小学生阅读要求。</w:t>
      </w:r>
    </w:p>
    <w:p w14:paraId="331C0158">
      <w:pPr>
        <w:spacing w:line="360" w:lineRule="auto"/>
        <w:ind w:firstLine="480" w:firstLineChars="200"/>
        <w:rPr>
          <w:rFonts w:hint="eastAsia"/>
          <w:sz w:val="24"/>
          <w:szCs w:val="24"/>
        </w:rPr>
      </w:pPr>
      <w:r>
        <w:rPr>
          <w:rFonts w:hint="eastAsia"/>
          <w:sz w:val="24"/>
          <w:szCs w:val="24"/>
          <w:lang w:eastAsia="zh-CN"/>
        </w:rPr>
        <w:t>（</w:t>
      </w:r>
      <w:r>
        <w:rPr>
          <w:rFonts w:hint="eastAsia"/>
          <w:sz w:val="24"/>
          <w:szCs w:val="24"/>
        </w:rPr>
        <w:t>1）封面印刷：套印准确，字、 图、点、线印迹清楚， 不花，不毛，不模糊，墨色均匀，无回胶印，背面整洁。</w:t>
      </w:r>
    </w:p>
    <w:p w14:paraId="140CA3A3">
      <w:p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插图印刷：插印准确，层次分明，轮廓实。 电分制 版无浮雕印。网点清晰饱满，小点不秃，大点光洁不糊， 质感好。墨色均匀厚实，色彩鲜艳有光泽，肤色正，接 版准确，色调深浅一致。</w:t>
      </w:r>
    </w:p>
    <w:p w14:paraId="764FDA3E">
      <w:p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rPr>
        <w:t>正文印刷：压力：压力适度，全书前后轻重一致。 墨色：全书前后墨色一致，浓淡适度。套印：版面端正， 正反套印准确。文字：文字、标点清晰，笔锋挺秀，无 缺笔断划，标题黑实不花，小字不糊不瞎。</w:t>
      </w:r>
    </w:p>
    <w:p w14:paraId="0E901AF7">
      <w:pPr>
        <w:spacing w:line="360" w:lineRule="auto"/>
        <w:rPr>
          <w:rFonts w:hint="eastAsia"/>
          <w:sz w:val="24"/>
          <w:szCs w:val="24"/>
        </w:rPr>
      </w:pPr>
      <w:r>
        <w:rPr>
          <w:rFonts w:hint="eastAsia"/>
          <w:sz w:val="24"/>
          <w:szCs w:val="24"/>
        </w:rPr>
        <w:t>其它：书 目无脏污、破损、无钉花、野墨。</w:t>
      </w:r>
    </w:p>
    <w:p w14:paraId="21E5F156">
      <w:p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rPr>
        <w:t>装订：开本尺寸符合设计要求，套书规格一致，成 品裁切方正，无明显刀花，无连接页、折角、破头。书 背平整，无空背、起泡、明显皱纹，书脊字居中，封面 齐色，边框要色页。全书页码折正，书面平服，无皱纹 （八字折等）。骑马钉、平钉的钉脚不翘，无断丝，凸 肚，钉距匀称，坚实牢固易翻不脱页。无缺页，缺码。</w:t>
      </w:r>
    </w:p>
    <w:p w14:paraId="33B37B6A">
      <w:pPr>
        <w:widowControl w:val="0"/>
        <w:numPr>
          <w:ilvl w:val="0"/>
          <w:numId w:val="0"/>
        </w:numPr>
        <w:spacing w:line="360" w:lineRule="auto"/>
        <w:ind w:firstLine="480" w:firstLineChars="200"/>
        <w:jc w:val="both"/>
        <w:rPr>
          <w:rFonts w:hint="eastAsia"/>
          <w:sz w:val="24"/>
          <w:szCs w:val="24"/>
        </w:rPr>
      </w:pPr>
      <w:r>
        <w:rPr>
          <w:rFonts w:hint="eastAsia"/>
          <w:sz w:val="24"/>
          <w:szCs w:val="24"/>
        </w:rPr>
        <w:t>2.必须保证所提供的图书全部是经国家批准的正规出版机构的正规出版物，是全新、未使用过的合格正价正 版图书，严禁提供非法出版物、盗版书或其他质量低劣的书籍。</w:t>
      </w:r>
    </w:p>
    <w:p w14:paraId="557D4219">
      <w:pPr>
        <w:widowControl w:val="0"/>
        <w:numPr>
          <w:ilvl w:val="0"/>
          <w:numId w:val="0"/>
        </w:numPr>
        <w:spacing w:line="360" w:lineRule="auto"/>
        <w:ind w:firstLine="480" w:firstLineChars="200"/>
        <w:jc w:val="both"/>
        <w:rPr>
          <w:rFonts w:hint="eastAsia"/>
          <w:sz w:val="24"/>
          <w:szCs w:val="24"/>
        </w:rPr>
      </w:pPr>
      <w:r>
        <w:rPr>
          <w:rFonts w:hint="eastAsia"/>
          <w:sz w:val="24"/>
          <w:szCs w:val="24"/>
        </w:rPr>
        <w:t>3.提供的图书应符合中华人民共和国 GB9851 图书质  量验收标准和 GYZ-91 印刷行业标准，图书开本及幅面 尺寸符合 GB/T 788-1999 标准。</w:t>
      </w:r>
    </w:p>
    <w:p w14:paraId="1DFDE163">
      <w:pPr>
        <w:widowControl w:val="0"/>
        <w:numPr>
          <w:ilvl w:val="0"/>
          <w:numId w:val="0"/>
        </w:numPr>
        <w:spacing w:line="360" w:lineRule="auto"/>
        <w:ind w:firstLine="480" w:firstLineChars="200"/>
        <w:jc w:val="both"/>
        <w:rPr>
          <w:rFonts w:hint="eastAsia"/>
          <w:sz w:val="24"/>
          <w:szCs w:val="24"/>
        </w:rPr>
      </w:pPr>
      <w:r>
        <w:rPr>
          <w:rFonts w:hint="eastAsia"/>
          <w:sz w:val="24"/>
          <w:szCs w:val="24"/>
        </w:rPr>
        <w:t>4.提供的图书印刷质量执行国家新闻出版总署颁布的 2005 年 3 月 1 日起施行的《图书质量管理规定》。</w:t>
      </w:r>
    </w:p>
    <w:p w14:paraId="7C120D8C">
      <w:pPr>
        <w:widowControl w:val="0"/>
        <w:numPr>
          <w:ilvl w:val="0"/>
          <w:numId w:val="0"/>
        </w:numPr>
        <w:spacing w:line="360" w:lineRule="auto"/>
        <w:ind w:firstLine="480" w:firstLineChars="200"/>
        <w:jc w:val="both"/>
        <w:rPr>
          <w:rFonts w:hint="eastAsia"/>
          <w:sz w:val="24"/>
          <w:szCs w:val="24"/>
        </w:rPr>
      </w:pPr>
      <w:r>
        <w:rPr>
          <w:rFonts w:hint="eastAsia"/>
          <w:sz w:val="24"/>
          <w:szCs w:val="24"/>
        </w:rPr>
        <w:t>5.须保障采购人使用其出版物时，不受到第三方关于侵 犯版权、工艺、方案、技术资料、软件、商标、专利、 外协产品等一切方面的指控。任何第三方如果提出侵权 指控，必须由供应商承担由此产生的一切索赔责任。</w:t>
      </w:r>
    </w:p>
    <w:p w14:paraId="46CF6941">
      <w:pPr>
        <w:widowControl w:val="0"/>
        <w:numPr>
          <w:ilvl w:val="0"/>
          <w:numId w:val="0"/>
        </w:numPr>
        <w:spacing w:line="360" w:lineRule="auto"/>
        <w:ind w:firstLine="480" w:firstLineChars="200"/>
        <w:jc w:val="both"/>
        <w:rPr>
          <w:rFonts w:hint="eastAsia"/>
          <w:sz w:val="24"/>
          <w:szCs w:val="24"/>
        </w:rPr>
      </w:pPr>
      <w:r>
        <w:rPr>
          <w:rFonts w:hint="eastAsia"/>
          <w:sz w:val="24"/>
          <w:szCs w:val="24"/>
        </w:rPr>
        <w:t>6.图书纸张克重≥ 55 克。</w:t>
      </w:r>
    </w:p>
    <w:p w14:paraId="78B31129">
      <w:pPr>
        <w:widowControl w:val="0"/>
        <w:numPr>
          <w:ilvl w:val="0"/>
          <w:numId w:val="0"/>
        </w:numPr>
        <w:spacing w:line="360" w:lineRule="auto"/>
        <w:ind w:firstLine="480" w:firstLineChars="200"/>
        <w:jc w:val="both"/>
        <w:rPr>
          <w:rFonts w:hint="eastAsia"/>
          <w:sz w:val="24"/>
          <w:szCs w:val="24"/>
          <w:lang w:val="en-US" w:eastAsia="zh-CN"/>
        </w:rPr>
      </w:pPr>
      <w:r>
        <w:rPr>
          <w:rFonts w:hint="eastAsia"/>
          <w:sz w:val="24"/>
          <w:szCs w:val="24"/>
          <w:lang w:val="en-US" w:eastAsia="zh-CN"/>
        </w:rPr>
        <w:t>7.采购书目清单见附件。供应商需响应提供的选书书库是否满足清单书目的95%及以上。</w:t>
      </w:r>
    </w:p>
    <w:p w14:paraId="15BA3D68">
      <w:pPr>
        <w:widowControl w:val="0"/>
        <w:numPr>
          <w:ilvl w:val="0"/>
          <w:numId w:val="0"/>
        </w:numPr>
        <w:spacing w:line="360" w:lineRule="auto"/>
        <w:ind w:firstLine="480" w:firstLineChars="200"/>
        <w:jc w:val="both"/>
        <w:rPr>
          <w:rFonts w:hint="default"/>
          <w:sz w:val="24"/>
          <w:szCs w:val="24"/>
          <w:lang w:val="en-US" w:eastAsia="zh-CN"/>
        </w:rPr>
      </w:pPr>
      <w:r>
        <w:rPr>
          <w:rFonts w:hint="eastAsia"/>
          <w:sz w:val="24"/>
          <w:szCs w:val="24"/>
          <w:lang w:val="en-US" w:eastAsia="zh-CN"/>
        </w:rPr>
        <w:t>8.中标供应商需适配学校使用的书籍管理系统对新购书籍进行编码上架，确保新购书籍能在学校的借阅系统正常使用。</w:t>
      </w:r>
    </w:p>
    <w:p w14:paraId="2F223991">
      <w:pPr>
        <w:numPr>
          <w:ilvl w:val="0"/>
          <w:numId w:val="0"/>
        </w:numPr>
        <w:spacing w:line="360" w:lineRule="auto"/>
        <w:ind w:firstLine="562" w:firstLineChars="200"/>
        <w:rPr>
          <w:rFonts w:hint="eastAsia" w:ascii="宋体" w:hAnsi="宋体"/>
          <w:b/>
          <w:kern w:val="1"/>
          <w:sz w:val="28"/>
          <w:lang w:val="en-US" w:eastAsia="zh-CN"/>
        </w:rPr>
      </w:pPr>
      <w:r>
        <w:rPr>
          <w:rFonts w:hint="eastAsia" w:ascii="宋体" w:hAnsi="宋体"/>
          <w:b/>
          <w:kern w:val="1"/>
          <w:sz w:val="28"/>
          <w:lang w:val="en-US" w:eastAsia="zh-CN"/>
        </w:rPr>
        <w:t>三、商务要求：</w:t>
      </w:r>
    </w:p>
    <w:p w14:paraId="14812F61">
      <w:pPr>
        <w:widowControl w:val="0"/>
        <w:numPr>
          <w:ilvl w:val="0"/>
          <w:numId w:val="0"/>
        </w:numPr>
        <w:spacing w:line="360" w:lineRule="auto"/>
        <w:ind w:firstLine="480" w:firstLineChars="200"/>
        <w:jc w:val="both"/>
        <w:rPr>
          <w:rFonts w:hint="eastAsia"/>
          <w:sz w:val="24"/>
          <w:szCs w:val="24"/>
        </w:rPr>
      </w:pPr>
      <w:r>
        <w:rPr>
          <w:rFonts w:hint="eastAsia"/>
          <w:sz w:val="24"/>
          <w:szCs w:val="24"/>
          <w:lang w:val="en-US" w:eastAsia="zh-CN"/>
        </w:rPr>
        <w:t>1.</w:t>
      </w:r>
      <w:r>
        <w:rPr>
          <w:rFonts w:hint="eastAsia"/>
          <w:sz w:val="24"/>
          <w:szCs w:val="24"/>
        </w:rPr>
        <w:t>本次采购图书为 2022年1月1日（含）-2025年8月1日前的出版物。现要求投标人从2700种书单选取1000种，提供一正两副，按照第一大类“马列主义、毛泽东思想 ” 占 0.5%； 第二大类 “哲学、宗教 ” 占 8%；第三大类 “社会  科学总论 ” 占 50%，其中包括政治法律、军事、经济、 文化科学教育体育、语言文字、文学、艺术、历史地理等；第四大类 “ 自然科学总论 ” 至少占30%，涵盖数理科学和化学、天文学和地球科学、生物科学、医药卫生、 农业科学、工业技术、交通运输、航空航天、环境科学、 劳动保护科学等；第五大类“综合性图书 ”占 5%。</w:t>
      </w:r>
    </w:p>
    <w:p w14:paraId="060CBDF9">
      <w:pPr>
        <w:widowControl w:val="0"/>
        <w:numPr>
          <w:ilvl w:val="0"/>
          <w:numId w:val="0"/>
        </w:numPr>
        <w:spacing w:line="360" w:lineRule="auto"/>
        <w:ind w:firstLine="480" w:firstLineChars="200"/>
        <w:jc w:val="both"/>
        <w:rPr>
          <w:rFonts w:hint="eastAsia"/>
          <w:sz w:val="24"/>
          <w:szCs w:val="24"/>
        </w:rPr>
      </w:pPr>
      <w:r>
        <w:rPr>
          <w:rFonts w:hint="eastAsia"/>
          <w:sz w:val="24"/>
          <w:szCs w:val="24"/>
          <w:lang w:val="en-US" w:eastAsia="zh-CN"/>
        </w:rPr>
        <w:t>2.</w:t>
      </w:r>
      <w:r>
        <w:rPr>
          <w:rFonts w:hint="eastAsia"/>
          <w:sz w:val="24"/>
          <w:szCs w:val="24"/>
        </w:rPr>
        <w:t xml:space="preserve"> 图书质量</w:t>
      </w:r>
      <w:r>
        <w:rPr>
          <w:rFonts w:hint="eastAsia"/>
          <w:sz w:val="24"/>
          <w:szCs w:val="24"/>
          <w:lang w:val="en-US" w:eastAsia="zh-CN"/>
        </w:rPr>
        <w:t>检测要求</w:t>
      </w:r>
      <w:r>
        <w:rPr>
          <w:rFonts w:hint="eastAsia"/>
          <w:sz w:val="24"/>
          <w:szCs w:val="24"/>
        </w:rPr>
        <w:t>：</w:t>
      </w:r>
    </w:p>
    <w:p w14:paraId="31678344">
      <w:pPr>
        <w:widowControl w:val="0"/>
        <w:numPr>
          <w:ilvl w:val="0"/>
          <w:numId w:val="0"/>
        </w:numPr>
        <w:spacing w:line="360" w:lineRule="auto"/>
        <w:ind w:firstLine="240" w:firstLineChars="100"/>
        <w:jc w:val="both"/>
        <w:rPr>
          <w:rFonts w:hint="eastAsia"/>
          <w:sz w:val="24"/>
          <w:szCs w:val="24"/>
        </w:rPr>
      </w:pPr>
      <w:r>
        <w:rPr>
          <w:rFonts w:hint="eastAsia"/>
          <w:sz w:val="24"/>
          <w:szCs w:val="24"/>
        </w:rPr>
        <w:t>为保障投标人的履约能力和图书质量，投标人需要在抽取的20种书单中</w:t>
      </w:r>
      <w:r>
        <w:rPr>
          <w:rFonts w:hint="eastAsia"/>
          <w:sz w:val="24"/>
          <w:szCs w:val="24"/>
          <w:lang w:eastAsia="zh-CN"/>
        </w:rPr>
        <w:t>（</w:t>
      </w:r>
      <w:r>
        <w:rPr>
          <w:rFonts w:hint="eastAsia"/>
          <w:sz w:val="24"/>
          <w:szCs w:val="24"/>
          <w:lang w:val="en-US" w:eastAsia="zh-CN"/>
        </w:rPr>
        <w:t>详见：附件1、需检测书目列表）</w:t>
      </w:r>
      <w:r>
        <w:rPr>
          <w:rFonts w:hint="eastAsia"/>
          <w:sz w:val="24"/>
          <w:szCs w:val="24"/>
        </w:rPr>
        <w:t>，提供图书质量检验（检测）报告不少于</w:t>
      </w:r>
      <w:r>
        <w:rPr>
          <w:rFonts w:hint="eastAsia"/>
          <w:sz w:val="24"/>
          <w:szCs w:val="24"/>
          <w:lang w:val="en-US" w:eastAsia="zh-CN"/>
        </w:rPr>
        <w:t>5</w:t>
      </w:r>
      <w:r>
        <w:rPr>
          <w:rFonts w:hint="eastAsia"/>
          <w:sz w:val="24"/>
          <w:szCs w:val="24"/>
        </w:rPr>
        <w:t>份，</w:t>
      </w:r>
      <w:r>
        <w:rPr>
          <w:rFonts w:hint="eastAsia"/>
          <w:sz w:val="24"/>
          <w:szCs w:val="24"/>
          <w:lang w:val="en-US" w:eastAsia="zh-CN"/>
        </w:rPr>
        <w:t>检测项至少包含</w:t>
      </w:r>
      <w:r>
        <w:rPr>
          <w:rFonts w:hint="eastAsia"/>
          <w:sz w:val="24"/>
          <w:szCs w:val="24"/>
        </w:rPr>
        <w:t>铅、镉、汞、六价铬、多溴联苯、多溴二苯醚的检测，检测结果达到合格标准</w:t>
      </w:r>
      <w:r>
        <w:rPr>
          <w:rFonts w:hint="eastAsia"/>
          <w:sz w:val="24"/>
          <w:szCs w:val="24"/>
          <w:lang w:eastAsia="zh-CN"/>
        </w:rPr>
        <w:t>，</w:t>
      </w:r>
      <w:r>
        <w:rPr>
          <w:rFonts w:hint="eastAsia"/>
          <w:sz w:val="24"/>
          <w:szCs w:val="24"/>
          <w:lang w:val="en-US" w:eastAsia="zh-CN"/>
        </w:rPr>
        <w:t>检测报告需是</w:t>
      </w:r>
      <w:r>
        <w:rPr>
          <w:rFonts w:hint="eastAsia"/>
          <w:sz w:val="24"/>
          <w:szCs w:val="24"/>
        </w:rPr>
        <w:t>第三方检测机构出具，不提供视为不响应比选文件要求，投标无效。</w:t>
      </w:r>
    </w:p>
    <w:p w14:paraId="600DC1F3">
      <w:pPr>
        <w:widowControl w:val="0"/>
        <w:numPr>
          <w:ilvl w:val="0"/>
          <w:numId w:val="0"/>
        </w:numPr>
        <w:spacing w:line="360" w:lineRule="auto"/>
        <w:ind w:firstLine="482" w:firstLineChars="200"/>
        <w:jc w:val="both"/>
        <w:rPr>
          <w:rFonts w:hint="default" w:eastAsiaTheme="minorEastAsia"/>
          <w:b/>
          <w:bCs/>
          <w:sz w:val="24"/>
          <w:szCs w:val="24"/>
          <w:lang w:val="en-US" w:eastAsia="zh-CN"/>
        </w:rPr>
      </w:pPr>
      <w:r>
        <w:rPr>
          <w:rFonts w:hint="eastAsia"/>
          <w:b/>
          <w:bCs/>
          <w:sz w:val="24"/>
          <w:szCs w:val="24"/>
          <w:lang w:val="en-US" w:eastAsia="zh-CN"/>
        </w:rPr>
        <w:t>四、供应商供货要求</w:t>
      </w:r>
    </w:p>
    <w:p w14:paraId="1142AE6E">
      <w:pPr>
        <w:widowControl w:val="0"/>
        <w:numPr>
          <w:ilvl w:val="0"/>
          <w:numId w:val="0"/>
        </w:numPr>
        <w:spacing w:line="360" w:lineRule="auto"/>
        <w:ind w:firstLine="480" w:firstLineChars="200"/>
        <w:jc w:val="both"/>
        <w:rPr>
          <w:rFonts w:hint="eastAsia" w:eastAsiaTheme="minorEastAsia"/>
          <w:sz w:val="24"/>
          <w:szCs w:val="24"/>
          <w:lang w:val="en-US" w:eastAsia="zh-CN"/>
        </w:rPr>
      </w:pPr>
      <w:r>
        <w:rPr>
          <w:rFonts w:hint="eastAsia"/>
          <w:sz w:val="24"/>
          <w:szCs w:val="24"/>
          <w:lang w:val="en-US" w:eastAsia="zh-CN"/>
        </w:rPr>
        <w:t>供应商需提供选书软件，且书库必须满足采购人提供的</w:t>
      </w:r>
      <w:r>
        <w:rPr>
          <w:rFonts w:hint="eastAsia"/>
          <w:sz w:val="24"/>
          <w:szCs w:val="24"/>
        </w:rPr>
        <w:t>2700种书单</w:t>
      </w:r>
      <w:r>
        <w:rPr>
          <w:rFonts w:hint="eastAsia"/>
          <w:sz w:val="24"/>
          <w:szCs w:val="24"/>
          <w:lang w:eastAsia="zh-CN"/>
        </w:rPr>
        <w:t>（</w:t>
      </w:r>
      <w:r>
        <w:rPr>
          <w:rFonts w:hint="eastAsia"/>
          <w:sz w:val="24"/>
          <w:szCs w:val="24"/>
          <w:lang w:val="en-US" w:eastAsia="zh-CN"/>
        </w:rPr>
        <w:t>详见：附件2、拟采购书目库）的95%以上，满足以上要求的供应商</w:t>
      </w:r>
      <w:r>
        <w:rPr>
          <w:rFonts w:hint="eastAsia"/>
          <w:sz w:val="24"/>
          <w:szCs w:val="24"/>
        </w:rPr>
        <w:t>进行</w:t>
      </w:r>
      <w:r>
        <w:rPr>
          <w:rFonts w:hint="eastAsia"/>
          <w:sz w:val="24"/>
          <w:szCs w:val="24"/>
          <w:lang w:val="en-US" w:eastAsia="zh-CN"/>
        </w:rPr>
        <w:t>统一</w:t>
      </w:r>
      <w:r>
        <w:rPr>
          <w:rFonts w:hint="eastAsia"/>
          <w:sz w:val="24"/>
          <w:szCs w:val="24"/>
        </w:rPr>
        <w:t>折扣</w:t>
      </w:r>
      <w:r>
        <w:rPr>
          <w:rFonts w:hint="eastAsia"/>
          <w:sz w:val="24"/>
          <w:szCs w:val="24"/>
          <w:lang w:val="en-US" w:eastAsia="zh-CN"/>
        </w:rPr>
        <w:t>率报价</w:t>
      </w:r>
      <w:r>
        <w:rPr>
          <w:rFonts w:hint="eastAsia"/>
          <w:sz w:val="24"/>
          <w:szCs w:val="24"/>
        </w:rPr>
        <w:t>，</w:t>
      </w:r>
      <w:r>
        <w:rPr>
          <w:rFonts w:hint="eastAsia"/>
          <w:sz w:val="24"/>
          <w:szCs w:val="24"/>
          <w:lang w:val="en-US" w:eastAsia="zh-CN"/>
        </w:rPr>
        <w:t>折扣率最低者为中选供应商，中选后采购人在2700种书单里</w:t>
      </w:r>
      <w:r>
        <w:rPr>
          <w:rFonts w:hint="eastAsia"/>
          <w:sz w:val="24"/>
          <w:szCs w:val="24"/>
        </w:rPr>
        <w:t>选取</w:t>
      </w:r>
      <w:r>
        <w:rPr>
          <w:rFonts w:hint="eastAsia"/>
          <w:sz w:val="24"/>
          <w:szCs w:val="24"/>
          <w:lang w:val="en-US" w:eastAsia="zh-CN"/>
        </w:rPr>
        <w:t>等于或大于10万元（按10万元结算）的</w:t>
      </w:r>
      <w:r>
        <w:rPr>
          <w:rFonts w:hint="eastAsia"/>
          <w:sz w:val="24"/>
          <w:szCs w:val="24"/>
        </w:rPr>
        <w:t>一正两副</w:t>
      </w:r>
      <w:r>
        <w:rPr>
          <w:rFonts w:hint="eastAsia"/>
          <w:sz w:val="24"/>
          <w:szCs w:val="24"/>
          <w:lang w:val="en-US" w:eastAsia="zh-CN"/>
        </w:rPr>
        <w:t>的书籍</w:t>
      </w:r>
      <w:r>
        <w:rPr>
          <w:rFonts w:hint="eastAsia"/>
          <w:sz w:val="24"/>
          <w:szCs w:val="24"/>
          <w:lang w:eastAsia="zh-CN"/>
        </w:rPr>
        <w:t>。</w:t>
      </w:r>
    </w:p>
    <w:p w14:paraId="67064C04">
      <w:pPr>
        <w:pStyle w:val="17"/>
        <w:spacing w:after="0" w:line="360" w:lineRule="auto"/>
        <w:ind w:firstLine="420"/>
        <w:rPr>
          <w:b/>
          <w:bCs/>
          <w:sz w:val="24"/>
        </w:rPr>
      </w:pPr>
      <w:r>
        <w:rPr>
          <w:rFonts w:hint="eastAsia"/>
          <w:b/>
          <w:bCs/>
          <w:sz w:val="24"/>
          <w:lang w:val="en-US" w:eastAsia="zh-CN"/>
        </w:rPr>
        <w:t>五</w:t>
      </w:r>
      <w:r>
        <w:rPr>
          <w:rFonts w:hint="eastAsia"/>
          <w:b/>
          <w:bCs/>
          <w:sz w:val="24"/>
        </w:rPr>
        <w:t xml:space="preserve">、谈判过程中可能实质性变动的内容： </w:t>
      </w:r>
    </w:p>
    <w:p w14:paraId="37C830E3">
      <w:pPr>
        <w:widowControl/>
        <w:spacing w:line="360" w:lineRule="auto"/>
        <w:ind w:firstLine="480" w:firstLineChars="200"/>
        <w:jc w:val="left"/>
        <w:rPr>
          <w:rFonts w:ascii="宋体" w:hAnsi="宋体"/>
          <w:color w:val="000000"/>
          <w:sz w:val="24"/>
        </w:rPr>
      </w:pPr>
      <w:r>
        <w:rPr>
          <w:rFonts w:hint="eastAsia" w:ascii="宋体" w:hAnsi="宋体"/>
          <w:color w:val="000000"/>
          <w:sz w:val="24"/>
        </w:rPr>
        <w:t>谈判小组所有成员应当按顺序集中与单一供应商分别进行谈判。在谈判过程中，谈判小组可以根据谈判文件和谈判情况实质性变动采购需求中的技术、服务要求以及合同草案条款，但不得变动其他内容。实质性变动的内容，须经采购人代表确认。对谈判文件作出的实质性变动是谈判文件的有效组成部分，应当以书面形式及时通知所有参加谈判的供应商，供应商应当按照谈判文件的变动情况和谈判小组的要求重新提交响应文件，但只提供变动后的内容。</w:t>
      </w:r>
    </w:p>
    <w:p w14:paraId="2BBDC8C8">
      <w:pPr>
        <w:widowControl/>
        <w:spacing w:line="360" w:lineRule="auto"/>
        <w:ind w:firstLine="420"/>
        <w:jc w:val="left"/>
        <w:sectPr>
          <w:headerReference r:id="rId12" w:type="default"/>
          <w:footerReference r:id="rId13" w:type="default"/>
          <w:pgSz w:w="11911" w:h="16838"/>
          <w:pgMar w:top="1440" w:right="1797" w:bottom="1440" w:left="1797" w:header="850" w:footer="737" w:gutter="0"/>
          <w:pgNumType w:start="1"/>
          <w:cols w:space="720" w:num="1"/>
          <w:docGrid w:linePitch="299" w:charSpace="0"/>
        </w:sectPr>
      </w:pPr>
      <w:r>
        <w:rPr>
          <w:rFonts w:hint="eastAsia"/>
          <w:b/>
          <w:bCs/>
          <w:sz w:val="24"/>
          <w:lang w:val="en-US" w:eastAsia="zh-CN"/>
        </w:rPr>
        <w:t>五、</w:t>
      </w:r>
      <w:r>
        <w:rPr>
          <w:rFonts w:hint="eastAsia"/>
          <w:b/>
          <w:bCs/>
          <w:sz w:val="24"/>
        </w:rPr>
        <w:t>其他未尽事宜，由采购人与成交人另行协商解决。</w:t>
      </w:r>
    </w:p>
    <w:p w14:paraId="28B356EC">
      <w:pPr>
        <w:pStyle w:val="40"/>
        <w:spacing w:before="0" w:after="0" w:line="360" w:lineRule="auto"/>
        <w:rPr>
          <w:rFonts w:ascii="黑体" w:hAnsi="宋体" w:eastAsia="黑体"/>
          <w:b w:val="0"/>
          <w:bCs w:val="0"/>
        </w:rPr>
      </w:pPr>
      <w:bookmarkStart w:id="123" w:name="_Toc24338"/>
      <w:r>
        <w:rPr>
          <w:rFonts w:hint="eastAsia"/>
        </w:rPr>
        <w:t>第六章  响应文件格式</w:t>
      </w:r>
      <w:bookmarkEnd w:id="117"/>
      <w:bookmarkEnd w:id="118"/>
      <w:bookmarkEnd w:id="119"/>
      <w:bookmarkEnd w:id="123"/>
    </w:p>
    <w:p w14:paraId="2EA09874">
      <w:pPr>
        <w:spacing w:line="360" w:lineRule="auto"/>
        <w:ind w:firstLine="480" w:firstLineChars="200"/>
        <w:rPr>
          <w:sz w:val="24"/>
        </w:rPr>
      </w:pPr>
      <w:r>
        <w:rPr>
          <w:rFonts w:hint="eastAsia"/>
          <w:sz w:val="24"/>
        </w:rPr>
        <w:t xml:space="preserve"> 一、本章所制响应文件格式，除格式中明确将该格式作为实质性要求的，一律不具有强制性。</w:t>
      </w:r>
    </w:p>
    <w:p w14:paraId="64767C29">
      <w:pPr>
        <w:spacing w:line="360" w:lineRule="auto"/>
        <w:ind w:firstLine="480" w:firstLineChars="200"/>
        <w:rPr>
          <w:sz w:val="24"/>
        </w:rPr>
      </w:pPr>
      <w:r>
        <w:rPr>
          <w:rFonts w:hint="eastAsia"/>
          <w:sz w:val="24"/>
        </w:rPr>
        <w:t>二、本章所制响应文件格式有关表格中的备注栏，由供应商根据自身响应情况作解释性说明，不作为必填项。</w:t>
      </w:r>
    </w:p>
    <w:p w14:paraId="1E178AA0">
      <w:pPr>
        <w:spacing w:line="360" w:lineRule="auto"/>
        <w:ind w:firstLine="480" w:firstLineChars="200"/>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45EA3FDC">
      <w:pPr>
        <w:spacing w:line="360" w:lineRule="auto"/>
        <w:ind w:firstLine="480" w:firstLineChars="200"/>
        <w:rPr>
          <w:sz w:val="24"/>
        </w:rPr>
      </w:pPr>
    </w:p>
    <w:p w14:paraId="76AC437E">
      <w:pPr>
        <w:spacing w:line="360" w:lineRule="auto"/>
        <w:jc w:val="center"/>
        <w:rPr>
          <w:rFonts w:ascii="宋体" w:hAnsi="宋体" w:cs="微软雅黑"/>
          <w:b/>
          <w:bCs/>
          <w:kern w:val="0"/>
          <w:sz w:val="30"/>
          <w:szCs w:val="30"/>
        </w:rPr>
      </w:pPr>
      <w:r>
        <w:rPr>
          <w:b/>
          <w:sz w:val="32"/>
          <w:szCs w:val="32"/>
        </w:rPr>
        <w:br w:type="page"/>
      </w:r>
      <w:r>
        <w:rPr>
          <w:rFonts w:ascii="宋体" w:hAnsi="宋体" w:cs="微软雅黑"/>
          <w:b/>
          <w:bCs/>
          <w:kern w:val="0"/>
          <w:sz w:val="30"/>
          <w:szCs w:val="30"/>
        </w:rPr>
        <w:t>（资格性响应文件和技术、服务性响应文件两部分，应分册装订密封）</w:t>
      </w:r>
    </w:p>
    <w:p w14:paraId="70CE6470">
      <w:pPr>
        <w:spacing w:line="360" w:lineRule="auto"/>
        <w:jc w:val="right"/>
        <w:rPr>
          <w:rFonts w:ascii="宋体" w:hAnsi="宋体" w:cs="微软雅黑"/>
          <w:b/>
          <w:bCs/>
          <w:kern w:val="0"/>
          <w:sz w:val="72"/>
          <w:szCs w:val="72"/>
        </w:rPr>
      </w:pPr>
      <w:r>
        <w:rPr>
          <w:rFonts w:ascii="宋体" w:hAnsi="宋体" w:cs="微软雅黑"/>
          <w:b/>
          <w:bCs/>
          <w:w w:val="110"/>
          <w:kern w:val="0"/>
          <w:sz w:val="36"/>
          <w:szCs w:val="36"/>
        </w:rPr>
        <w:t>（正本</w:t>
      </w:r>
      <w:r>
        <w:rPr>
          <w:rFonts w:ascii="宋体" w:hAnsi="宋体" w:cs="Arial"/>
          <w:b/>
          <w:bCs/>
          <w:w w:val="110"/>
          <w:kern w:val="0"/>
          <w:sz w:val="36"/>
          <w:szCs w:val="36"/>
        </w:rPr>
        <w:t>/</w:t>
      </w:r>
      <w:r>
        <w:rPr>
          <w:rFonts w:ascii="宋体" w:hAnsi="宋体" w:cs="微软雅黑"/>
          <w:b/>
          <w:bCs/>
          <w:w w:val="110"/>
          <w:kern w:val="0"/>
          <w:sz w:val="36"/>
          <w:szCs w:val="36"/>
        </w:rPr>
        <w:t>副本）</w:t>
      </w:r>
    </w:p>
    <w:p w14:paraId="3DC976CB">
      <w:pPr>
        <w:widowControl/>
        <w:spacing w:line="360" w:lineRule="auto"/>
        <w:jc w:val="left"/>
        <w:rPr>
          <w:rFonts w:ascii="宋体" w:hAnsi="宋体"/>
          <w:b/>
          <w:kern w:val="0"/>
          <w:sz w:val="72"/>
          <w:szCs w:val="20"/>
        </w:rPr>
      </w:pPr>
    </w:p>
    <w:p w14:paraId="4B60B7EC">
      <w:pPr>
        <w:keepNext/>
        <w:keepLines/>
        <w:spacing w:line="360" w:lineRule="auto"/>
        <w:jc w:val="center"/>
        <w:outlineLvl w:val="1"/>
        <w:rPr>
          <w:rFonts w:ascii="宋体" w:hAnsi="宋体"/>
          <w:b/>
          <w:bCs/>
          <w:sz w:val="52"/>
          <w:szCs w:val="52"/>
        </w:rPr>
      </w:pPr>
      <w:bookmarkStart w:id="124" w:name="_Toc504987205"/>
      <w:bookmarkStart w:id="125" w:name="_Toc13750"/>
      <w:bookmarkStart w:id="126" w:name="_Toc498586715"/>
      <w:bookmarkStart w:id="127" w:name="_Toc504991349"/>
      <w:bookmarkStart w:id="128" w:name="_Toc504988304"/>
      <w:bookmarkStart w:id="129" w:name="_Toc22722"/>
      <w:bookmarkStart w:id="130" w:name="_Toc502912097"/>
      <w:bookmarkStart w:id="131" w:name="_Toc722"/>
      <w:r>
        <w:rPr>
          <w:rFonts w:ascii="宋体" w:hAnsi="宋体"/>
          <w:b/>
          <w:bCs/>
          <w:sz w:val="52"/>
          <w:szCs w:val="52"/>
        </w:rPr>
        <w:t>第一部分  资格性响应文件</w:t>
      </w:r>
      <w:bookmarkEnd w:id="124"/>
      <w:bookmarkEnd w:id="125"/>
      <w:bookmarkEnd w:id="126"/>
      <w:bookmarkEnd w:id="127"/>
      <w:bookmarkEnd w:id="128"/>
      <w:bookmarkEnd w:id="129"/>
      <w:bookmarkEnd w:id="130"/>
      <w:bookmarkEnd w:id="131"/>
    </w:p>
    <w:p w14:paraId="723C9A8A">
      <w:pPr>
        <w:widowControl/>
        <w:spacing w:line="360" w:lineRule="auto"/>
        <w:rPr>
          <w:rFonts w:ascii="宋体" w:hAnsi="宋体"/>
          <w:b/>
          <w:kern w:val="0"/>
          <w:sz w:val="44"/>
          <w:szCs w:val="20"/>
        </w:rPr>
      </w:pPr>
    </w:p>
    <w:p w14:paraId="3CE7E8E9">
      <w:pPr>
        <w:widowControl/>
        <w:spacing w:line="360" w:lineRule="auto"/>
        <w:jc w:val="center"/>
        <w:rPr>
          <w:rFonts w:ascii="宋体" w:hAnsi="宋体"/>
          <w:b/>
          <w:kern w:val="0"/>
          <w:sz w:val="36"/>
          <w:szCs w:val="20"/>
        </w:rPr>
      </w:pPr>
    </w:p>
    <w:p w14:paraId="0E2BDE48">
      <w:pPr>
        <w:widowControl/>
        <w:spacing w:line="360" w:lineRule="auto"/>
        <w:jc w:val="center"/>
        <w:rPr>
          <w:rFonts w:ascii="宋体" w:hAnsi="宋体"/>
          <w:b/>
          <w:kern w:val="0"/>
          <w:sz w:val="36"/>
          <w:szCs w:val="20"/>
        </w:rPr>
      </w:pPr>
    </w:p>
    <w:p w14:paraId="24D99CCB">
      <w:pPr>
        <w:widowControl/>
        <w:spacing w:line="360" w:lineRule="auto"/>
        <w:jc w:val="left"/>
        <w:rPr>
          <w:rFonts w:ascii="宋体" w:hAnsi="宋体"/>
          <w:b/>
          <w:kern w:val="0"/>
          <w:sz w:val="36"/>
          <w:szCs w:val="20"/>
          <w:u w:val="single"/>
        </w:rPr>
      </w:pPr>
      <w:r>
        <w:rPr>
          <w:rFonts w:ascii="宋体" w:hAnsi="宋体"/>
          <w:b/>
          <w:kern w:val="0"/>
          <w:sz w:val="36"/>
          <w:szCs w:val="20"/>
        </w:rPr>
        <w:t>项目名称：</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14:paraId="68E649F3">
      <w:pPr>
        <w:widowControl/>
        <w:spacing w:line="360" w:lineRule="auto"/>
        <w:jc w:val="left"/>
        <w:rPr>
          <w:rFonts w:ascii="宋体" w:hAnsi="宋体"/>
          <w:b/>
          <w:kern w:val="0"/>
          <w:sz w:val="36"/>
          <w:szCs w:val="20"/>
          <w:u w:val="single"/>
        </w:rPr>
      </w:pPr>
      <w:r>
        <w:rPr>
          <w:rFonts w:ascii="宋体" w:hAnsi="宋体"/>
          <w:b/>
          <w:kern w:val="0"/>
          <w:sz w:val="36"/>
          <w:szCs w:val="20"/>
        </w:rPr>
        <w:t>采购编号：</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14:paraId="4A1A576F">
      <w:pPr>
        <w:widowControl/>
        <w:spacing w:line="360" w:lineRule="auto"/>
        <w:jc w:val="left"/>
        <w:rPr>
          <w:rFonts w:ascii="宋体" w:hAnsi="宋体"/>
          <w:b/>
          <w:kern w:val="0"/>
          <w:sz w:val="36"/>
          <w:szCs w:val="20"/>
        </w:rPr>
      </w:pPr>
    </w:p>
    <w:p w14:paraId="739B7D11">
      <w:pPr>
        <w:widowControl/>
        <w:spacing w:line="360" w:lineRule="auto"/>
        <w:jc w:val="left"/>
        <w:rPr>
          <w:rFonts w:ascii="宋体" w:hAnsi="宋体"/>
          <w:b/>
          <w:kern w:val="0"/>
          <w:sz w:val="36"/>
          <w:szCs w:val="20"/>
        </w:rPr>
      </w:pPr>
    </w:p>
    <w:p w14:paraId="13FA92EF">
      <w:pPr>
        <w:widowControl/>
        <w:spacing w:line="360" w:lineRule="auto"/>
        <w:ind w:firstLine="562" w:firstLineChars="200"/>
        <w:jc w:val="left"/>
        <w:rPr>
          <w:rFonts w:ascii="宋体" w:hAnsi="宋体"/>
          <w:b/>
          <w:kern w:val="0"/>
          <w:sz w:val="28"/>
          <w:szCs w:val="28"/>
          <w:u w:val="single"/>
        </w:rPr>
      </w:pPr>
      <w:r>
        <w:rPr>
          <w:rFonts w:ascii="宋体" w:hAnsi="宋体"/>
          <w:b/>
          <w:kern w:val="0"/>
          <w:sz w:val="28"/>
          <w:szCs w:val="28"/>
        </w:rPr>
        <w:t>供应商名称 ：</w:t>
      </w:r>
      <w:r>
        <w:rPr>
          <w:rFonts w:ascii="宋体" w:hAnsi="宋体"/>
          <w:b/>
          <w:kern w:val="0"/>
          <w:sz w:val="28"/>
          <w:szCs w:val="28"/>
          <w:u w:val="single"/>
        </w:rPr>
        <w:t xml:space="preserve">                                </w:t>
      </w:r>
    </w:p>
    <w:p w14:paraId="71DDD970">
      <w:pPr>
        <w:widowControl/>
        <w:spacing w:line="360" w:lineRule="auto"/>
        <w:ind w:firstLine="562" w:firstLineChars="200"/>
        <w:jc w:val="left"/>
        <w:rPr>
          <w:rFonts w:ascii="宋体" w:hAnsi="宋体"/>
          <w:b/>
          <w:kern w:val="0"/>
          <w:sz w:val="28"/>
          <w:szCs w:val="28"/>
        </w:rPr>
      </w:pPr>
      <w:r>
        <w:rPr>
          <w:rFonts w:ascii="宋体" w:hAnsi="宋体"/>
          <w:b/>
          <w:kern w:val="0"/>
          <w:sz w:val="28"/>
          <w:szCs w:val="28"/>
        </w:rPr>
        <w:t>日期 ：20</w:t>
      </w:r>
      <w:r>
        <w:rPr>
          <w:rFonts w:hint="eastAsia" w:ascii="宋体" w:hAnsi="宋体"/>
          <w:b/>
          <w:kern w:val="0"/>
          <w:sz w:val="28"/>
          <w:szCs w:val="28"/>
          <w:lang w:val="en-US" w:eastAsia="zh-CN"/>
        </w:rPr>
        <w:t>2</w:t>
      </w:r>
      <w:r>
        <w:rPr>
          <w:rFonts w:ascii="宋体" w:hAnsi="宋体"/>
          <w:b/>
          <w:kern w:val="0"/>
          <w:sz w:val="28"/>
          <w:szCs w:val="28"/>
          <w:u w:val="single"/>
        </w:rPr>
        <w:t xml:space="preserve">  </w:t>
      </w:r>
      <w:r>
        <w:rPr>
          <w:rFonts w:ascii="宋体" w:hAnsi="宋体"/>
          <w:b/>
          <w:kern w:val="0"/>
          <w:sz w:val="28"/>
          <w:szCs w:val="28"/>
        </w:rPr>
        <w:t>年</w:t>
      </w:r>
      <w:r>
        <w:rPr>
          <w:rFonts w:ascii="宋体" w:hAnsi="宋体"/>
          <w:b/>
          <w:kern w:val="0"/>
          <w:sz w:val="28"/>
          <w:szCs w:val="28"/>
          <w:u w:val="single"/>
        </w:rPr>
        <w:t xml:space="preserve">   </w:t>
      </w:r>
      <w:r>
        <w:rPr>
          <w:rFonts w:ascii="宋体" w:hAnsi="宋体"/>
          <w:b/>
          <w:kern w:val="0"/>
          <w:sz w:val="28"/>
          <w:szCs w:val="28"/>
        </w:rPr>
        <w:t>月</w:t>
      </w:r>
      <w:r>
        <w:rPr>
          <w:rFonts w:ascii="宋体" w:hAnsi="宋体"/>
          <w:b/>
          <w:kern w:val="0"/>
          <w:sz w:val="28"/>
          <w:szCs w:val="28"/>
          <w:u w:val="single"/>
        </w:rPr>
        <w:t xml:space="preserve">   </w:t>
      </w:r>
      <w:r>
        <w:rPr>
          <w:rFonts w:ascii="宋体" w:hAnsi="宋体"/>
          <w:b/>
          <w:kern w:val="0"/>
          <w:sz w:val="28"/>
          <w:szCs w:val="28"/>
        </w:rPr>
        <w:t>日</w:t>
      </w:r>
    </w:p>
    <w:p w14:paraId="7F0A6539">
      <w:pPr>
        <w:widowControl/>
        <w:spacing w:line="360" w:lineRule="auto"/>
        <w:jc w:val="left"/>
        <w:rPr>
          <w:rFonts w:ascii="宋体" w:hAnsi="宋体" w:cs="宋体"/>
          <w:b/>
          <w:bCs/>
          <w:kern w:val="0"/>
          <w:sz w:val="32"/>
          <w:szCs w:val="32"/>
        </w:rPr>
      </w:pPr>
    </w:p>
    <w:p w14:paraId="6F42D84E">
      <w:pPr>
        <w:spacing w:line="360" w:lineRule="auto"/>
        <w:jc w:val="left"/>
        <w:rPr>
          <w:rFonts w:ascii="宋体" w:hAnsi="宋体" w:cs="宋体"/>
          <w:b/>
          <w:bCs/>
          <w:kern w:val="0"/>
          <w:sz w:val="32"/>
          <w:szCs w:val="32"/>
        </w:rPr>
      </w:pPr>
      <w:r>
        <w:rPr>
          <w:rFonts w:ascii="宋体" w:hAnsi="宋体" w:cs="宋体"/>
          <w:b/>
          <w:bCs/>
          <w:kern w:val="0"/>
          <w:sz w:val="32"/>
          <w:szCs w:val="32"/>
        </w:rPr>
        <w:br w:type="page"/>
      </w:r>
      <w:r>
        <w:rPr>
          <w:rFonts w:hint="eastAsia" w:ascii="宋体" w:hAnsi="宋体" w:cs="宋体"/>
          <w:b/>
          <w:bCs/>
          <w:kern w:val="0"/>
          <w:sz w:val="32"/>
          <w:szCs w:val="32"/>
        </w:rPr>
        <w:t>格式1-1</w:t>
      </w:r>
    </w:p>
    <w:p w14:paraId="17EC2839">
      <w:pPr>
        <w:spacing w:line="360" w:lineRule="auto"/>
        <w:ind w:left="99"/>
        <w:jc w:val="center"/>
        <w:outlineLvl w:val="1"/>
        <w:rPr>
          <w:rFonts w:ascii="宋体" w:hAnsi="宋体"/>
          <w:b/>
          <w:bCs/>
          <w:kern w:val="0"/>
          <w:sz w:val="36"/>
          <w:szCs w:val="36"/>
        </w:rPr>
      </w:pPr>
      <w:bookmarkStart w:id="132" w:name="_Toc1386"/>
      <w:bookmarkStart w:id="133" w:name="_Toc504988305"/>
      <w:bookmarkStart w:id="134" w:name="_Toc502912098"/>
      <w:bookmarkStart w:id="135" w:name="_Toc504987206"/>
      <w:bookmarkStart w:id="136" w:name="_Toc5980"/>
      <w:bookmarkStart w:id="137" w:name="_Toc5868"/>
      <w:bookmarkStart w:id="138" w:name="_Toc504991350"/>
      <w:r>
        <w:rPr>
          <w:rFonts w:hint="eastAsia" w:ascii="宋体" w:hAnsi="宋体"/>
          <w:b/>
          <w:bCs/>
          <w:kern w:val="0"/>
          <w:sz w:val="36"/>
          <w:szCs w:val="36"/>
        </w:rPr>
        <w:t>一、</w:t>
      </w:r>
      <w:r>
        <w:rPr>
          <w:rFonts w:hint="eastAsia" w:ascii="宋体" w:hAnsi="宋体"/>
          <w:b/>
          <w:kern w:val="0"/>
          <w:sz w:val="36"/>
          <w:szCs w:val="36"/>
        </w:rPr>
        <w:t>法定代表人/单位负责人身份证明书</w:t>
      </w:r>
      <w:bookmarkEnd w:id="132"/>
      <w:bookmarkEnd w:id="133"/>
      <w:bookmarkEnd w:id="134"/>
      <w:bookmarkEnd w:id="135"/>
      <w:bookmarkEnd w:id="136"/>
      <w:bookmarkEnd w:id="137"/>
      <w:bookmarkEnd w:id="138"/>
    </w:p>
    <w:p w14:paraId="4D0BF2BE">
      <w:pPr>
        <w:spacing w:line="360" w:lineRule="auto"/>
        <w:jc w:val="left"/>
        <w:rPr>
          <w:rFonts w:ascii="宋体" w:hAnsi="Calibri"/>
          <w:kern w:val="0"/>
          <w:sz w:val="24"/>
          <w:szCs w:val="22"/>
          <w:lang w:val="zh-CN"/>
        </w:rPr>
      </w:pPr>
    </w:p>
    <w:p w14:paraId="6FD6E785">
      <w:pPr>
        <w:spacing w:line="360" w:lineRule="auto"/>
        <w:jc w:val="left"/>
        <w:rPr>
          <w:rFonts w:ascii="宋体" w:hAnsi="Calibri"/>
          <w:kern w:val="0"/>
          <w:sz w:val="24"/>
          <w:szCs w:val="22"/>
          <w:lang w:val="zh-CN"/>
        </w:rPr>
      </w:pPr>
      <w:r>
        <w:rPr>
          <w:rFonts w:hint="eastAsia" w:ascii="宋体" w:hAnsi="Calibri"/>
          <w:kern w:val="0"/>
          <w:sz w:val="24"/>
          <w:szCs w:val="22"/>
          <w:lang w:val="zh-CN"/>
        </w:rPr>
        <w:t>四川省成都市第二中学：</w:t>
      </w:r>
    </w:p>
    <w:p w14:paraId="0454ABB2">
      <w:pPr>
        <w:tabs>
          <w:tab w:val="left" w:pos="6300"/>
        </w:tabs>
        <w:spacing w:line="360" w:lineRule="auto"/>
        <w:ind w:firstLine="480" w:firstLineChars="200"/>
        <w:jc w:val="left"/>
        <w:rPr>
          <w:rFonts w:ascii="宋体" w:hAnsi="Calibri"/>
          <w:kern w:val="0"/>
          <w:sz w:val="24"/>
          <w:szCs w:val="22"/>
          <w:lang w:val="zh-CN"/>
        </w:rPr>
      </w:pPr>
      <w:r>
        <w:rPr>
          <w:rFonts w:hint="eastAsia" w:ascii="宋体" w:hAnsi="Calibri"/>
          <w:kern w:val="0"/>
          <w:sz w:val="24"/>
          <w:szCs w:val="22"/>
          <w:u w:val="single"/>
          <w:lang w:val="zh-CN"/>
        </w:rPr>
        <w:t>（法定代表人</w:t>
      </w:r>
      <w:r>
        <w:rPr>
          <w:rFonts w:hint="eastAsia" w:ascii="宋体" w:hAnsi="Calibri"/>
          <w:kern w:val="0"/>
          <w:sz w:val="24"/>
          <w:szCs w:val="22"/>
          <w:u w:val="single"/>
        </w:rPr>
        <w:t>/</w:t>
      </w:r>
      <w:r>
        <w:rPr>
          <w:rFonts w:hint="eastAsia" w:ascii="宋体" w:hAnsi="宋体"/>
          <w:kern w:val="0"/>
          <w:sz w:val="22"/>
          <w:szCs w:val="22"/>
          <w:u w:val="single"/>
        </w:rPr>
        <w:t>单位负责人</w:t>
      </w:r>
      <w:r>
        <w:rPr>
          <w:rFonts w:hint="eastAsia" w:ascii="宋体" w:hAnsi="Calibri"/>
          <w:kern w:val="0"/>
          <w:sz w:val="24"/>
          <w:szCs w:val="22"/>
          <w:u w:val="single"/>
          <w:lang w:val="zh-CN"/>
        </w:rPr>
        <w:t xml:space="preserve">姓名）         </w:t>
      </w:r>
      <w:r>
        <w:rPr>
          <w:rFonts w:hint="eastAsia" w:ascii="宋体" w:hAnsi="Calibri"/>
          <w:kern w:val="0"/>
          <w:sz w:val="24"/>
          <w:szCs w:val="22"/>
          <w:lang w:val="zh-CN"/>
        </w:rPr>
        <w:t>在</w:t>
      </w:r>
      <w:r>
        <w:rPr>
          <w:rFonts w:hint="eastAsia" w:ascii="宋体" w:hAnsi="Calibri"/>
          <w:kern w:val="0"/>
          <w:sz w:val="24"/>
          <w:szCs w:val="22"/>
          <w:u w:val="single"/>
          <w:lang w:val="zh-CN"/>
        </w:rPr>
        <w:t xml:space="preserve">          </w:t>
      </w:r>
      <w:r>
        <w:rPr>
          <w:rFonts w:hint="eastAsia" w:ascii="宋体" w:hAnsi="Calibri"/>
          <w:kern w:val="0"/>
          <w:sz w:val="24"/>
          <w:szCs w:val="22"/>
          <w:u w:val="single"/>
        </w:rPr>
        <w:t xml:space="preserve">   </w:t>
      </w:r>
      <w:r>
        <w:rPr>
          <w:rFonts w:hint="eastAsia" w:ascii="宋体" w:hAnsi="Calibri"/>
          <w:kern w:val="0"/>
          <w:sz w:val="24"/>
          <w:szCs w:val="22"/>
          <w:u w:val="single"/>
          <w:lang w:val="zh-CN"/>
        </w:rPr>
        <w:t xml:space="preserve">（供应商名称） </w:t>
      </w:r>
      <w:r>
        <w:rPr>
          <w:rFonts w:hint="eastAsia" w:ascii="宋体" w:hAnsi="Calibri"/>
          <w:kern w:val="0"/>
          <w:sz w:val="24"/>
          <w:szCs w:val="22"/>
          <w:lang w:val="zh-CN"/>
        </w:rPr>
        <w:t>处任</w:t>
      </w:r>
      <w:r>
        <w:rPr>
          <w:rFonts w:hint="eastAsia" w:ascii="宋体" w:hAnsi="Calibri"/>
          <w:kern w:val="0"/>
          <w:sz w:val="24"/>
          <w:szCs w:val="22"/>
          <w:u w:val="single"/>
          <w:lang w:val="zh-CN"/>
        </w:rPr>
        <w:t xml:space="preserve">         （职务名称）        </w:t>
      </w:r>
      <w:r>
        <w:rPr>
          <w:rFonts w:hint="eastAsia" w:ascii="宋体" w:hAnsi="Calibri"/>
          <w:kern w:val="0"/>
          <w:sz w:val="24"/>
          <w:szCs w:val="22"/>
          <w:lang w:val="zh-CN"/>
        </w:rPr>
        <w:t>职务，是</w:t>
      </w:r>
      <w:r>
        <w:rPr>
          <w:rFonts w:hint="eastAsia" w:ascii="宋体" w:hAnsi="Calibri"/>
          <w:kern w:val="0"/>
          <w:sz w:val="24"/>
          <w:szCs w:val="22"/>
          <w:u w:val="single"/>
          <w:lang w:val="zh-CN"/>
        </w:rPr>
        <w:t xml:space="preserve">      （供应商名称）    </w:t>
      </w:r>
      <w:r>
        <w:rPr>
          <w:rFonts w:hint="eastAsia" w:ascii="宋体" w:hAnsi="Calibri"/>
          <w:kern w:val="0"/>
          <w:sz w:val="24"/>
          <w:szCs w:val="22"/>
          <w:lang w:val="zh-CN"/>
        </w:rPr>
        <w:t>的法定代表人/单位负责人。</w:t>
      </w:r>
    </w:p>
    <w:p w14:paraId="3A753776">
      <w:pPr>
        <w:tabs>
          <w:tab w:val="left" w:pos="6300"/>
        </w:tabs>
        <w:spacing w:line="360" w:lineRule="auto"/>
        <w:jc w:val="left"/>
        <w:rPr>
          <w:rFonts w:ascii="宋体" w:hAnsi="Calibri"/>
          <w:b/>
          <w:kern w:val="0"/>
          <w:sz w:val="24"/>
          <w:szCs w:val="22"/>
          <w:lang w:val="zh-CN"/>
        </w:rPr>
      </w:pPr>
    </w:p>
    <w:p w14:paraId="50193028">
      <w:pPr>
        <w:tabs>
          <w:tab w:val="left" w:pos="6300"/>
        </w:tabs>
        <w:spacing w:line="360" w:lineRule="auto"/>
        <w:jc w:val="left"/>
        <w:rPr>
          <w:rFonts w:ascii="宋体" w:hAnsi="Calibri"/>
          <w:b/>
          <w:kern w:val="0"/>
          <w:sz w:val="24"/>
          <w:szCs w:val="22"/>
          <w:lang w:val="zh-CN"/>
        </w:rPr>
      </w:pPr>
    </w:p>
    <w:p w14:paraId="27585B64">
      <w:pPr>
        <w:tabs>
          <w:tab w:val="left" w:pos="6300"/>
        </w:tabs>
        <w:spacing w:line="360" w:lineRule="auto"/>
        <w:ind w:firstLine="573"/>
        <w:jc w:val="left"/>
        <w:rPr>
          <w:rFonts w:ascii="宋体" w:hAnsi="Calibri"/>
          <w:b/>
          <w:kern w:val="0"/>
          <w:sz w:val="24"/>
          <w:szCs w:val="22"/>
          <w:lang w:val="zh-CN"/>
        </w:rPr>
      </w:pPr>
    </w:p>
    <w:p w14:paraId="270697DA">
      <w:pPr>
        <w:tabs>
          <w:tab w:val="left" w:pos="6300"/>
        </w:tabs>
        <w:spacing w:line="360" w:lineRule="auto"/>
        <w:ind w:firstLine="573"/>
        <w:jc w:val="left"/>
        <w:rPr>
          <w:rFonts w:ascii="宋体" w:hAnsi="Calibri"/>
          <w:b/>
          <w:kern w:val="0"/>
          <w:sz w:val="24"/>
          <w:szCs w:val="22"/>
          <w:lang w:val="zh-CN"/>
        </w:rPr>
      </w:pPr>
      <w:r>
        <w:rPr>
          <w:rFonts w:hint="eastAsia" w:ascii="宋体" w:hAnsi="Calibri"/>
          <w:b/>
          <w:kern w:val="0"/>
          <w:sz w:val="24"/>
          <w:szCs w:val="22"/>
          <w:lang w:val="zh-CN"/>
        </w:rPr>
        <w:t>特此证明。</w:t>
      </w:r>
    </w:p>
    <w:p w14:paraId="1CDC9FA2">
      <w:pPr>
        <w:tabs>
          <w:tab w:val="left" w:pos="6300"/>
        </w:tabs>
        <w:spacing w:line="360" w:lineRule="auto"/>
        <w:jc w:val="left"/>
        <w:rPr>
          <w:rFonts w:ascii="宋体" w:hAnsi="Calibri"/>
          <w:b/>
          <w:kern w:val="0"/>
          <w:sz w:val="22"/>
          <w:szCs w:val="21"/>
          <w:lang w:val="zh-CN"/>
        </w:rPr>
      </w:pPr>
    </w:p>
    <w:p w14:paraId="2617AA50">
      <w:pPr>
        <w:tabs>
          <w:tab w:val="left" w:pos="6300"/>
        </w:tabs>
        <w:spacing w:line="360" w:lineRule="auto"/>
        <w:jc w:val="left"/>
        <w:rPr>
          <w:rFonts w:ascii="宋体" w:hAnsi="Calibri"/>
          <w:b/>
          <w:kern w:val="0"/>
          <w:sz w:val="22"/>
          <w:szCs w:val="21"/>
          <w:lang w:val="zh-CN"/>
        </w:rPr>
      </w:pPr>
      <w:r>
        <w:rPr>
          <w:rFonts w:hint="eastAsia" w:ascii="宋体" w:hAnsi="Calibri"/>
          <w:b/>
          <w:kern w:val="0"/>
          <w:sz w:val="22"/>
          <w:szCs w:val="21"/>
          <w:lang w:val="zh-CN"/>
        </w:rPr>
        <w:t>附件：法定代表人/单位负责人有效的身份证复印件（身份证两面均应复印）。供应商的法定代表人为外籍人士的，则需提供护照复印件。</w:t>
      </w:r>
    </w:p>
    <w:p w14:paraId="77B40365">
      <w:pPr>
        <w:spacing w:line="360" w:lineRule="auto"/>
        <w:ind w:firstLine="480" w:firstLineChars="200"/>
        <w:jc w:val="left"/>
        <w:rPr>
          <w:rFonts w:ascii="宋体" w:hAnsi="Calibri"/>
          <w:kern w:val="0"/>
          <w:sz w:val="24"/>
          <w:szCs w:val="22"/>
        </w:rPr>
      </w:pPr>
      <w:r>
        <w:rPr>
          <w:rFonts w:hint="eastAsia" w:ascii="宋体" w:hAnsi="Calibri"/>
          <w:kern w:val="0"/>
          <w:sz w:val="24"/>
          <w:szCs w:val="22"/>
        </w:rPr>
        <w:t xml:space="preserve">                      </w:t>
      </w:r>
    </w:p>
    <w:p w14:paraId="7F8E0AC0">
      <w:pPr>
        <w:spacing w:line="360" w:lineRule="auto"/>
        <w:jc w:val="left"/>
        <w:rPr>
          <w:rFonts w:ascii="宋体" w:hAnsi="Calibri"/>
          <w:kern w:val="0"/>
          <w:sz w:val="24"/>
          <w:szCs w:val="22"/>
        </w:rPr>
      </w:pPr>
    </w:p>
    <w:p w14:paraId="03FB9465">
      <w:pPr>
        <w:spacing w:line="360" w:lineRule="auto"/>
        <w:jc w:val="left"/>
        <w:rPr>
          <w:rFonts w:ascii="宋体" w:hAnsi="Calibri"/>
          <w:kern w:val="0"/>
          <w:sz w:val="24"/>
          <w:szCs w:val="22"/>
        </w:rPr>
      </w:pPr>
    </w:p>
    <w:p w14:paraId="15DFAAB6">
      <w:pPr>
        <w:spacing w:line="360" w:lineRule="auto"/>
        <w:jc w:val="left"/>
        <w:rPr>
          <w:rFonts w:ascii="宋体" w:hAnsi="Calibri"/>
          <w:kern w:val="0"/>
          <w:sz w:val="24"/>
          <w:szCs w:val="22"/>
          <w:u w:val="single"/>
        </w:rPr>
      </w:pPr>
      <w:r>
        <w:rPr>
          <w:rFonts w:hint="eastAsia" w:ascii="宋体" w:hAnsi="Calibri"/>
          <w:kern w:val="0"/>
          <w:sz w:val="24"/>
          <w:szCs w:val="22"/>
        </w:rPr>
        <w:t>供应商名称：</w:t>
      </w:r>
      <w:r>
        <w:rPr>
          <w:rFonts w:hint="eastAsia" w:ascii="宋体" w:hAnsi="Calibri"/>
          <w:kern w:val="0"/>
          <w:sz w:val="24"/>
          <w:szCs w:val="22"/>
          <w:u w:val="single"/>
        </w:rPr>
        <w:t xml:space="preserve">                  </w:t>
      </w:r>
      <w:r>
        <w:rPr>
          <w:rFonts w:hint="eastAsia" w:ascii="Calibri" w:hAnsi="Calibri"/>
          <w:kern w:val="0"/>
          <w:sz w:val="24"/>
          <w:szCs w:val="22"/>
        </w:rPr>
        <w:t>（单位盖章）</w:t>
      </w:r>
    </w:p>
    <w:p w14:paraId="09E7BFF7">
      <w:pPr>
        <w:spacing w:line="360" w:lineRule="auto"/>
        <w:jc w:val="left"/>
        <w:rPr>
          <w:rFonts w:ascii="Calibri" w:hAnsi="Calibri"/>
          <w:kern w:val="0"/>
          <w:sz w:val="24"/>
          <w:szCs w:val="22"/>
        </w:rPr>
      </w:pPr>
      <w:r>
        <w:rPr>
          <w:rFonts w:hint="eastAsia" w:ascii="Calibri" w:hAnsi="Calibri"/>
          <w:kern w:val="0"/>
          <w:sz w:val="24"/>
          <w:szCs w:val="22"/>
        </w:rPr>
        <w:t>日期：</w:t>
      </w:r>
    </w:p>
    <w:p w14:paraId="3D7A7853">
      <w:pPr>
        <w:spacing w:line="360" w:lineRule="auto"/>
        <w:jc w:val="left"/>
        <w:rPr>
          <w:rFonts w:ascii="Calibri" w:hAnsi="Calibri"/>
          <w:kern w:val="0"/>
          <w:sz w:val="24"/>
          <w:szCs w:val="22"/>
        </w:rPr>
      </w:pPr>
    </w:p>
    <w:p w14:paraId="35D8AE30">
      <w:pPr>
        <w:spacing w:line="360" w:lineRule="auto"/>
        <w:jc w:val="left"/>
        <w:rPr>
          <w:rFonts w:ascii="宋体" w:hAnsi="宋体" w:cs="宋体"/>
          <w:b/>
          <w:bCs/>
          <w:kern w:val="0"/>
          <w:sz w:val="32"/>
          <w:szCs w:val="32"/>
        </w:rPr>
      </w:pPr>
      <w:r>
        <w:rPr>
          <w:rFonts w:ascii="宋体" w:hAnsi="宋体" w:cs="宋体"/>
          <w:b/>
          <w:bCs/>
          <w:kern w:val="0"/>
          <w:sz w:val="32"/>
          <w:szCs w:val="32"/>
        </w:rPr>
        <w:br w:type="page"/>
      </w:r>
      <w:r>
        <w:rPr>
          <w:rFonts w:hint="eastAsia" w:ascii="宋体" w:hAnsi="宋体" w:cs="宋体"/>
          <w:b/>
          <w:bCs/>
          <w:kern w:val="0"/>
          <w:sz w:val="32"/>
          <w:szCs w:val="32"/>
        </w:rPr>
        <w:t>格式1-2</w:t>
      </w:r>
    </w:p>
    <w:p w14:paraId="39CE09D2">
      <w:pPr>
        <w:widowControl/>
        <w:spacing w:line="360" w:lineRule="auto"/>
        <w:jc w:val="center"/>
        <w:outlineLvl w:val="1"/>
        <w:rPr>
          <w:rFonts w:ascii="宋体" w:hAnsi="宋体"/>
          <w:b/>
          <w:kern w:val="0"/>
          <w:sz w:val="32"/>
          <w:szCs w:val="32"/>
        </w:rPr>
      </w:pPr>
      <w:bookmarkStart w:id="139" w:name="_Toc27724"/>
      <w:bookmarkStart w:id="140" w:name="_Toc504991351"/>
      <w:bookmarkStart w:id="141" w:name="_Toc502912099"/>
      <w:bookmarkStart w:id="142" w:name="_Toc16654"/>
      <w:bookmarkStart w:id="143" w:name="_Toc504987207"/>
      <w:bookmarkStart w:id="144" w:name="_Toc504988306"/>
      <w:bookmarkStart w:id="145" w:name="_Toc6683"/>
      <w:r>
        <w:rPr>
          <w:rFonts w:hint="eastAsia" w:ascii="宋体" w:hAnsi="宋体"/>
          <w:b/>
          <w:kern w:val="0"/>
          <w:sz w:val="32"/>
          <w:szCs w:val="32"/>
        </w:rPr>
        <w:t>二、法定代表人/单位负责人授权书</w:t>
      </w:r>
      <w:bookmarkEnd w:id="139"/>
      <w:bookmarkEnd w:id="140"/>
      <w:bookmarkEnd w:id="141"/>
      <w:bookmarkEnd w:id="142"/>
      <w:bookmarkEnd w:id="143"/>
      <w:bookmarkEnd w:id="144"/>
      <w:bookmarkEnd w:id="145"/>
    </w:p>
    <w:p w14:paraId="3C8859C7">
      <w:pPr>
        <w:spacing w:line="360" w:lineRule="auto"/>
        <w:jc w:val="left"/>
        <w:rPr>
          <w:rFonts w:ascii="Calibri" w:hAnsi="Calibri"/>
          <w:kern w:val="0"/>
          <w:sz w:val="22"/>
          <w:szCs w:val="22"/>
        </w:rPr>
      </w:pPr>
    </w:p>
    <w:p w14:paraId="2BFFCD03">
      <w:pPr>
        <w:spacing w:line="360" w:lineRule="auto"/>
        <w:jc w:val="left"/>
        <w:rPr>
          <w:rFonts w:ascii="Calibri" w:hAnsi="Calibri"/>
          <w:kern w:val="0"/>
          <w:sz w:val="24"/>
          <w:szCs w:val="22"/>
        </w:rPr>
      </w:pPr>
      <w:r>
        <w:rPr>
          <w:rFonts w:hint="eastAsia" w:ascii="宋体" w:hAnsi="Calibri"/>
          <w:kern w:val="0"/>
          <w:sz w:val="24"/>
          <w:szCs w:val="22"/>
          <w:lang w:val="zh-CN"/>
        </w:rPr>
        <w:t>四川省成都市第二中学</w:t>
      </w:r>
      <w:r>
        <w:rPr>
          <w:rFonts w:hint="eastAsia" w:ascii="Calibri" w:hAnsi="Calibri"/>
          <w:kern w:val="0"/>
          <w:sz w:val="24"/>
          <w:szCs w:val="22"/>
        </w:rPr>
        <w:t>：</w:t>
      </w:r>
    </w:p>
    <w:p w14:paraId="10853C05">
      <w:pPr>
        <w:spacing w:line="360" w:lineRule="auto"/>
        <w:ind w:firstLine="480" w:firstLineChars="200"/>
        <w:jc w:val="left"/>
        <w:rPr>
          <w:rFonts w:ascii="Calibri" w:hAnsi="Calibri"/>
          <w:kern w:val="0"/>
          <w:sz w:val="24"/>
          <w:szCs w:val="22"/>
        </w:rPr>
      </w:pPr>
      <w:r>
        <w:rPr>
          <w:rFonts w:hint="eastAsia" w:ascii="Calibri" w:hAnsi="Calibri"/>
          <w:kern w:val="0"/>
          <w:sz w:val="24"/>
          <w:szCs w:val="22"/>
        </w:rPr>
        <w:t>本授权声明：</w:t>
      </w:r>
      <w:r>
        <w:rPr>
          <w:rFonts w:hint="eastAsia" w:ascii="Calibri" w:hAnsi="Calibri"/>
          <w:kern w:val="0"/>
          <w:sz w:val="24"/>
          <w:szCs w:val="22"/>
          <w:u w:val="single"/>
        </w:rPr>
        <w:t xml:space="preserve">                                    </w:t>
      </w: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（法定代表人/单位负责人姓名、职务）授权</w:t>
      </w:r>
      <w:r>
        <w:rPr>
          <w:rFonts w:hint="eastAsia" w:ascii="Calibri" w:hAnsi="Calibri"/>
          <w:kern w:val="0"/>
          <w:sz w:val="24"/>
          <w:szCs w:val="22"/>
          <w:u w:val="single"/>
        </w:rPr>
        <w:t xml:space="preserve">                   </w:t>
      </w:r>
      <w:r>
        <w:rPr>
          <w:rFonts w:hint="eastAsia" w:ascii="Calibri" w:hAnsi="Calibri"/>
          <w:kern w:val="0"/>
          <w:sz w:val="24"/>
          <w:szCs w:val="22"/>
        </w:rPr>
        <w:t>（被授权人姓名、职务）为我方 “</w:t>
      </w:r>
      <w:r>
        <w:rPr>
          <w:rFonts w:hint="eastAsia" w:ascii="Calibri" w:hAnsi="Calibri"/>
          <w:kern w:val="0"/>
          <w:sz w:val="24"/>
          <w:szCs w:val="22"/>
          <w:u w:val="single"/>
        </w:rPr>
        <w:t xml:space="preserve">                          </w:t>
      </w:r>
      <w:r>
        <w:rPr>
          <w:rFonts w:hint="eastAsia" w:ascii="Calibri" w:hAnsi="Calibri"/>
          <w:kern w:val="0"/>
          <w:sz w:val="24"/>
          <w:szCs w:val="22"/>
        </w:rPr>
        <w:t>” 项目（</w:t>
      </w:r>
      <w:r>
        <w:rPr>
          <w:rFonts w:hint="eastAsia" w:ascii="宋体" w:hAnsi="宋体"/>
          <w:kern w:val="0"/>
          <w:sz w:val="24"/>
          <w:szCs w:val="22"/>
        </w:rPr>
        <w:t>采购项目编号</w:t>
      </w:r>
      <w:r>
        <w:rPr>
          <w:rFonts w:hint="eastAsia" w:ascii="Calibri" w:hAnsi="Calibri"/>
          <w:kern w:val="0"/>
          <w:sz w:val="24"/>
          <w:szCs w:val="22"/>
        </w:rPr>
        <w:t>：</w:t>
      </w:r>
      <w:r>
        <w:rPr>
          <w:rFonts w:hint="eastAsia" w:ascii="Calibri" w:hAnsi="Calibri"/>
          <w:kern w:val="0"/>
          <w:sz w:val="24"/>
          <w:szCs w:val="22"/>
          <w:u w:val="single"/>
        </w:rPr>
        <w:t xml:space="preserve">                  </w:t>
      </w:r>
      <w:r>
        <w:rPr>
          <w:rFonts w:hint="eastAsia" w:ascii="Calibri" w:hAnsi="Calibri"/>
          <w:kern w:val="0"/>
          <w:sz w:val="24"/>
          <w:szCs w:val="22"/>
        </w:rPr>
        <w:t>）采购活动的合法代表，以我方名义全权处理该项目有关谈判、签订合同以及执行合同等一切事宜。</w:t>
      </w:r>
    </w:p>
    <w:p w14:paraId="0266B8B9">
      <w:pPr>
        <w:spacing w:line="360" w:lineRule="auto"/>
        <w:ind w:firstLine="480" w:firstLineChars="200"/>
        <w:jc w:val="left"/>
        <w:rPr>
          <w:rFonts w:ascii="Calibri" w:hAnsi="Calibri"/>
          <w:kern w:val="0"/>
          <w:sz w:val="24"/>
          <w:szCs w:val="22"/>
        </w:rPr>
      </w:pPr>
      <w:r>
        <w:rPr>
          <w:rFonts w:hint="eastAsia" w:ascii="Calibri" w:hAnsi="Calibri"/>
          <w:kern w:val="0"/>
          <w:sz w:val="24"/>
          <w:szCs w:val="22"/>
        </w:rPr>
        <w:t>特此声明。</w:t>
      </w:r>
    </w:p>
    <w:p w14:paraId="2C015264">
      <w:pPr>
        <w:spacing w:line="360" w:lineRule="auto"/>
        <w:ind w:firstLine="480" w:firstLineChars="200"/>
        <w:jc w:val="left"/>
        <w:rPr>
          <w:rFonts w:ascii="Calibri" w:hAnsi="Calibri"/>
          <w:kern w:val="0"/>
          <w:sz w:val="24"/>
          <w:szCs w:val="22"/>
        </w:rPr>
      </w:pPr>
    </w:p>
    <w:p w14:paraId="006925B8">
      <w:pPr>
        <w:tabs>
          <w:tab w:val="left" w:pos="6300"/>
        </w:tabs>
        <w:spacing w:line="360" w:lineRule="auto"/>
        <w:jc w:val="left"/>
        <w:rPr>
          <w:rFonts w:ascii="宋体" w:hAnsi="Calibri"/>
          <w:b/>
          <w:kern w:val="0"/>
          <w:sz w:val="22"/>
          <w:szCs w:val="21"/>
          <w:lang w:val="zh-CN"/>
        </w:rPr>
      </w:pPr>
      <w:r>
        <w:rPr>
          <w:rFonts w:hint="eastAsia" w:ascii="宋体" w:hAnsi="Calibri"/>
          <w:b/>
          <w:kern w:val="0"/>
          <w:sz w:val="22"/>
          <w:szCs w:val="21"/>
          <w:lang w:val="zh-CN"/>
        </w:rPr>
        <w:t>附件：授权代表有效的身份证复印件（身份证两面均应复印）。供应商的授权代表为外籍人士的，则需提供护照复印件。</w:t>
      </w:r>
    </w:p>
    <w:p w14:paraId="49EBD22D">
      <w:pPr>
        <w:spacing w:line="360" w:lineRule="auto"/>
        <w:ind w:firstLine="480" w:firstLineChars="200"/>
        <w:jc w:val="left"/>
        <w:rPr>
          <w:rFonts w:ascii="Calibri" w:hAnsi="Calibri"/>
          <w:kern w:val="0"/>
          <w:sz w:val="24"/>
          <w:szCs w:val="22"/>
        </w:rPr>
      </w:pPr>
    </w:p>
    <w:p w14:paraId="3C3CB393">
      <w:pPr>
        <w:spacing w:line="360" w:lineRule="auto"/>
        <w:ind w:firstLine="480" w:firstLineChars="200"/>
        <w:jc w:val="left"/>
        <w:rPr>
          <w:rFonts w:ascii="Calibri" w:hAnsi="Calibri"/>
          <w:kern w:val="0"/>
          <w:sz w:val="24"/>
          <w:szCs w:val="22"/>
        </w:rPr>
      </w:pPr>
    </w:p>
    <w:p w14:paraId="0898C531">
      <w:pPr>
        <w:spacing w:line="360" w:lineRule="auto"/>
        <w:ind w:firstLine="480" w:firstLineChars="200"/>
        <w:jc w:val="left"/>
        <w:rPr>
          <w:rFonts w:ascii="Calibri" w:hAnsi="Calibri"/>
          <w:kern w:val="0"/>
          <w:sz w:val="24"/>
          <w:szCs w:val="22"/>
        </w:rPr>
      </w:pPr>
    </w:p>
    <w:p w14:paraId="0F005AA8">
      <w:pPr>
        <w:spacing w:line="360" w:lineRule="auto"/>
        <w:jc w:val="left"/>
        <w:rPr>
          <w:rFonts w:ascii="Calibri" w:hAnsi="Calibri"/>
          <w:kern w:val="0"/>
          <w:sz w:val="24"/>
          <w:szCs w:val="22"/>
        </w:rPr>
      </w:pPr>
      <w:r>
        <w:rPr>
          <w:rFonts w:hint="eastAsia" w:ascii="Calibri" w:hAnsi="Calibri"/>
          <w:kern w:val="0"/>
          <w:sz w:val="24"/>
          <w:szCs w:val="22"/>
        </w:rPr>
        <w:t>法定代表人/单位负责人：</w:t>
      </w:r>
      <w:r>
        <w:rPr>
          <w:rFonts w:hint="eastAsia" w:ascii="Calibri" w:hAnsi="Calibri"/>
          <w:kern w:val="0"/>
          <w:sz w:val="24"/>
          <w:szCs w:val="22"/>
          <w:u w:val="single"/>
        </w:rPr>
        <w:t xml:space="preserve">                     </w:t>
      </w:r>
      <w:r>
        <w:rPr>
          <w:rFonts w:hint="eastAsia" w:ascii="Calibri" w:hAnsi="Calibri"/>
          <w:kern w:val="0"/>
          <w:sz w:val="24"/>
          <w:szCs w:val="22"/>
        </w:rPr>
        <w:t xml:space="preserve">（签字或者加盖个人名章 ）                       </w:t>
      </w:r>
    </w:p>
    <w:p w14:paraId="074B924E">
      <w:pPr>
        <w:spacing w:line="360" w:lineRule="auto"/>
        <w:jc w:val="left"/>
        <w:rPr>
          <w:rFonts w:ascii="Calibri" w:hAnsi="Calibri"/>
          <w:kern w:val="0"/>
          <w:sz w:val="24"/>
          <w:szCs w:val="22"/>
        </w:rPr>
      </w:pPr>
      <w:r>
        <w:rPr>
          <w:rFonts w:hint="eastAsia" w:ascii="Calibri" w:hAnsi="Calibri"/>
          <w:kern w:val="0"/>
          <w:sz w:val="24"/>
          <w:szCs w:val="22"/>
        </w:rPr>
        <w:t>授权代表：</w:t>
      </w:r>
      <w:r>
        <w:rPr>
          <w:rFonts w:hint="eastAsia" w:ascii="Calibri" w:hAnsi="Calibri"/>
          <w:kern w:val="0"/>
          <w:sz w:val="24"/>
          <w:szCs w:val="22"/>
          <w:u w:val="single"/>
        </w:rPr>
        <w:t xml:space="preserve">                              </w:t>
      </w:r>
      <w:r>
        <w:rPr>
          <w:rFonts w:hint="eastAsia" w:ascii="Calibri" w:hAnsi="Calibri"/>
          <w:kern w:val="0"/>
          <w:sz w:val="24"/>
          <w:szCs w:val="22"/>
        </w:rPr>
        <w:t>（签字）</w:t>
      </w:r>
    </w:p>
    <w:p w14:paraId="04F1B34D">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14:paraId="6794482C">
      <w:pPr>
        <w:spacing w:line="360" w:lineRule="auto"/>
        <w:jc w:val="left"/>
        <w:rPr>
          <w:rFonts w:ascii="Calibri" w:hAnsi="Calibri"/>
          <w:kern w:val="0"/>
          <w:sz w:val="24"/>
          <w:szCs w:val="22"/>
        </w:rPr>
      </w:pPr>
      <w:r>
        <w:rPr>
          <w:rFonts w:hint="eastAsia" w:ascii="Calibri" w:hAnsi="Calibri"/>
          <w:kern w:val="0"/>
          <w:sz w:val="24"/>
          <w:szCs w:val="22"/>
        </w:rPr>
        <w:t>日期：</w:t>
      </w:r>
    </w:p>
    <w:p w14:paraId="7909F4F1">
      <w:pPr>
        <w:spacing w:line="360" w:lineRule="auto"/>
        <w:ind w:firstLine="442" w:firstLineChars="200"/>
        <w:jc w:val="left"/>
        <w:rPr>
          <w:rFonts w:ascii="Calibri" w:hAnsi="Calibri"/>
          <w:b/>
          <w:kern w:val="0"/>
          <w:sz w:val="22"/>
          <w:szCs w:val="22"/>
        </w:rPr>
      </w:pPr>
    </w:p>
    <w:p w14:paraId="29400A27">
      <w:pPr>
        <w:spacing w:line="360" w:lineRule="auto"/>
        <w:ind w:firstLine="442" w:firstLineChars="200"/>
        <w:jc w:val="left"/>
        <w:rPr>
          <w:rFonts w:ascii="Calibri" w:hAnsi="Calibri"/>
          <w:b/>
          <w:kern w:val="0"/>
          <w:sz w:val="22"/>
          <w:szCs w:val="22"/>
        </w:rPr>
      </w:pPr>
    </w:p>
    <w:p w14:paraId="2F22BF5B">
      <w:pPr>
        <w:spacing w:line="360" w:lineRule="auto"/>
        <w:jc w:val="left"/>
        <w:rPr>
          <w:rFonts w:ascii="Calibri" w:hAnsi="Calibri"/>
          <w:b/>
          <w:kern w:val="0"/>
          <w:sz w:val="22"/>
          <w:szCs w:val="22"/>
        </w:rPr>
      </w:pPr>
    </w:p>
    <w:p w14:paraId="094BE6E7">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注：</w:t>
      </w:r>
    </w:p>
    <w:p w14:paraId="32141E85">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1、供应商为法人单位时提供“法定代表人授权书”，供应商为其他组织时提供“单位负责人授权书”，供应商为自然人时提供“自然人身份证明材料”。</w:t>
      </w:r>
    </w:p>
    <w:p w14:paraId="06F3E1ED">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2、身份证明材料包括居民身份证和其他法定有效证明。</w:t>
      </w:r>
    </w:p>
    <w:p w14:paraId="588746B0">
      <w:pPr>
        <w:spacing w:line="360" w:lineRule="auto"/>
        <w:ind w:firstLine="442" w:firstLineChars="200"/>
        <w:jc w:val="left"/>
        <w:rPr>
          <w:rFonts w:ascii="Calibri" w:hAnsi="Calibri"/>
          <w:b/>
          <w:bCs/>
          <w:kern w:val="0"/>
          <w:sz w:val="22"/>
          <w:szCs w:val="22"/>
        </w:rPr>
      </w:pPr>
      <w:r>
        <w:rPr>
          <w:rFonts w:hint="eastAsia" w:ascii="Calibri" w:hAnsi="Calibri"/>
          <w:b/>
          <w:bCs/>
          <w:kern w:val="0"/>
          <w:sz w:val="22"/>
          <w:szCs w:val="22"/>
        </w:rPr>
        <w:t>3、身份证明材料应同时提供其在有效期的材料，如居民身份证正、反面复印件。</w:t>
      </w:r>
    </w:p>
    <w:p w14:paraId="3D05AF67">
      <w:pPr>
        <w:spacing w:line="360" w:lineRule="auto"/>
        <w:ind w:firstLine="442" w:firstLineChars="200"/>
        <w:jc w:val="left"/>
        <w:rPr>
          <w:rFonts w:ascii="宋体" w:hAnsi="宋体" w:cs="宋体"/>
          <w:b/>
          <w:bCs/>
          <w:kern w:val="0"/>
          <w:sz w:val="32"/>
          <w:szCs w:val="32"/>
        </w:rPr>
        <w:sectPr>
          <w:pgSz w:w="11911" w:h="16838"/>
          <w:pgMar w:top="1440" w:right="1797" w:bottom="1440" w:left="1797" w:header="850" w:footer="737" w:gutter="0"/>
          <w:cols w:space="720" w:num="1"/>
          <w:docGrid w:linePitch="299" w:charSpace="0"/>
        </w:sectPr>
      </w:pPr>
      <w:r>
        <w:rPr>
          <w:rFonts w:hint="eastAsia" w:ascii="宋体" w:hAnsi="宋体"/>
          <w:b/>
          <w:kern w:val="0"/>
          <w:sz w:val="22"/>
          <w:szCs w:val="22"/>
        </w:rPr>
        <w:t>4、响应文件均由供应商法定代表人/单位负责人签字的,响应文件中可不提供该附件的内容。</w:t>
      </w:r>
    </w:p>
    <w:p w14:paraId="269D987D">
      <w:pPr>
        <w:spacing w:line="360" w:lineRule="auto"/>
        <w:jc w:val="left"/>
        <w:rPr>
          <w:rFonts w:ascii="宋体" w:hAnsi="宋体" w:cs="宋体"/>
          <w:b/>
          <w:bCs/>
          <w:kern w:val="0"/>
          <w:sz w:val="32"/>
          <w:szCs w:val="32"/>
        </w:rPr>
      </w:pPr>
      <w:r>
        <w:rPr>
          <w:rFonts w:hint="eastAsia" w:ascii="宋体" w:hAnsi="宋体" w:cs="宋体"/>
          <w:b/>
          <w:bCs/>
          <w:kern w:val="0"/>
          <w:sz w:val="32"/>
          <w:szCs w:val="32"/>
        </w:rPr>
        <w:t>格式1-3</w:t>
      </w:r>
    </w:p>
    <w:p w14:paraId="62477743">
      <w:pPr>
        <w:widowControl/>
        <w:spacing w:line="360" w:lineRule="auto"/>
        <w:jc w:val="center"/>
        <w:outlineLvl w:val="1"/>
        <w:rPr>
          <w:rFonts w:ascii="宋体" w:hAnsi="宋体"/>
          <w:b/>
          <w:kern w:val="0"/>
          <w:sz w:val="32"/>
          <w:szCs w:val="32"/>
        </w:rPr>
      </w:pPr>
      <w:bookmarkStart w:id="146" w:name="_Toc3263"/>
      <w:bookmarkStart w:id="147" w:name="_Toc6642"/>
      <w:bookmarkStart w:id="148" w:name="_Toc504988307"/>
      <w:bookmarkStart w:id="149" w:name="_Toc502912100"/>
      <w:bookmarkStart w:id="150" w:name="_Toc17046"/>
      <w:bookmarkStart w:id="151" w:name="_Toc504987208"/>
      <w:bookmarkStart w:id="152" w:name="_Toc504991352"/>
      <w:r>
        <w:rPr>
          <w:rFonts w:hint="eastAsia" w:ascii="宋体" w:hAnsi="宋体"/>
          <w:b/>
          <w:kern w:val="0"/>
          <w:sz w:val="32"/>
          <w:szCs w:val="32"/>
        </w:rPr>
        <w:t>三、承诺函</w:t>
      </w:r>
      <w:bookmarkEnd w:id="146"/>
      <w:bookmarkEnd w:id="147"/>
      <w:bookmarkEnd w:id="148"/>
      <w:bookmarkEnd w:id="149"/>
      <w:bookmarkEnd w:id="150"/>
      <w:bookmarkEnd w:id="151"/>
      <w:bookmarkEnd w:id="152"/>
    </w:p>
    <w:p w14:paraId="5B3DD6FD">
      <w:pPr>
        <w:spacing w:line="360" w:lineRule="auto"/>
        <w:jc w:val="left"/>
        <w:rPr>
          <w:rFonts w:ascii="Calibri" w:hAnsi="Calibri"/>
          <w:kern w:val="0"/>
          <w:sz w:val="24"/>
          <w:szCs w:val="22"/>
        </w:rPr>
      </w:pPr>
    </w:p>
    <w:p w14:paraId="472BDA63">
      <w:pPr>
        <w:spacing w:line="360" w:lineRule="auto"/>
        <w:jc w:val="left"/>
        <w:rPr>
          <w:rFonts w:ascii="Calibri" w:hAnsi="Calibri"/>
          <w:kern w:val="0"/>
          <w:sz w:val="24"/>
          <w:szCs w:val="22"/>
        </w:rPr>
      </w:pPr>
      <w:r>
        <w:rPr>
          <w:rFonts w:hint="eastAsia" w:ascii="宋体" w:hAnsi="Calibri"/>
          <w:kern w:val="0"/>
          <w:sz w:val="24"/>
          <w:szCs w:val="22"/>
          <w:lang w:val="zh-CN"/>
        </w:rPr>
        <w:t>四川省成都市第二中学</w:t>
      </w:r>
      <w:r>
        <w:rPr>
          <w:rFonts w:hint="eastAsia" w:ascii="Calibri" w:hAnsi="Calibri"/>
          <w:kern w:val="0"/>
          <w:sz w:val="24"/>
          <w:szCs w:val="22"/>
        </w:rPr>
        <w:t>：</w:t>
      </w:r>
    </w:p>
    <w:p w14:paraId="0B7EBAEB">
      <w:pPr>
        <w:spacing w:line="360" w:lineRule="auto"/>
        <w:ind w:firstLine="480" w:firstLineChars="200"/>
        <w:jc w:val="left"/>
        <w:rPr>
          <w:rFonts w:ascii="Calibri" w:hAnsi="Calibri"/>
          <w:kern w:val="0"/>
          <w:sz w:val="24"/>
          <w:szCs w:val="22"/>
        </w:rPr>
      </w:pPr>
      <w:r>
        <w:rPr>
          <w:rFonts w:hint="eastAsia" w:ascii="Calibri" w:hAnsi="Calibri"/>
          <w:kern w:val="0"/>
          <w:sz w:val="24"/>
          <w:szCs w:val="22"/>
        </w:rPr>
        <w:t>我单位作为本次采购项目的供应商，根据谈判文件要求，现郑重承诺如下：</w:t>
      </w:r>
    </w:p>
    <w:p w14:paraId="1E0A3873">
      <w:pPr>
        <w:spacing w:line="360" w:lineRule="auto"/>
        <w:ind w:firstLine="480" w:firstLineChars="200"/>
        <w:jc w:val="left"/>
        <w:rPr>
          <w:rFonts w:ascii="宋体" w:hAnsi="宋体"/>
          <w:kern w:val="0"/>
          <w:sz w:val="24"/>
        </w:rPr>
      </w:pPr>
      <w:r>
        <w:rPr>
          <w:rFonts w:hint="eastAsia" w:ascii="宋体" w:hAnsi="宋体"/>
          <w:kern w:val="0"/>
          <w:sz w:val="24"/>
        </w:rPr>
        <w:t>1.具有独立承担民事责任的能力；</w:t>
      </w:r>
    </w:p>
    <w:p w14:paraId="01ECFAE0">
      <w:pPr>
        <w:spacing w:line="360" w:lineRule="auto"/>
        <w:ind w:firstLine="480" w:firstLineChars="200"/>
        <w:jc w:val="left"/>
        <w:rPr>
          <w:rFonts w:ascii="宋体" w:hAnsi="宋体"/>
          <w:kern w:val="0"/>
          <w:sz w:val="24"/>
        </w:rPr>
      </w:pPr>
      <w:r>
        <w:rPr>
          <w:rFonts w:hint="eastAsia" w:ascii="宋体" w:hAnsi="宋体"/>
          <w:kern w:val="0"/>
          <w:sz w:val="24"/>
        </w:rPr>
        <w:t>2.具有良好的商业信誉和健全的财务会计制度；</w:t>
      </w:r>
    </w:p>
    <w:p w14:paraId="4106B006">
      <w:pPr>
        <w:spacing w:line="360" w:lineRule="auto"/>
        <w:ind w:firstLine="480" w:firstLineChars="200"/>
        <w:jc w:val="left"/>
        <w:rPr>
          <w:rFonts w:ascii="宋体" w:hAnsi="宋体"/>
          <w:kern w:val="0"/>
          <w:sz w:val="24"/>
        </w:rPr>
      </w:pPr>
      <w:r>
        <w:rPr>
          <w:rFonts w:hint="eastAsia" w:ascii="宋体" w:hAnsi="宋体"/>
          <w:kern w:val="0"/>
          <w:sz w:val="24"/>
        </w:rPr>
        <w:t>3.具有履行合同所必须的设备和专业技术能力；</w:t>
      </w:r>
    </w:p>
    <w:p w14:paraId="5CB10523">
      <w:pPr>
        <w:spacing w:line="360" w:lineRule="auto"/>
        <w:ind w:firstLine="480" w:firstLineChars="200"/>
        <w:jc w:val="left"/>
        <w:rPr>
          <w:rFonts w:ascii="宋体" w:hAnsi="宋体"/>
          <w:kern w:val="0"/>
          <w:sz w:val="24"/>
        </w:rPr>
      </w:pPr>
      <w:r>
        <w:rPr>
          <w:rFonts w:hint="eastAsia" w:ascii="宋体" w:hAnsi="宋体"/>
          <w:kern w:val="0"/>
          <w:sz w:val="24"/>
        </w:rPr>
        <w:t>4.具有依法缴纳税收和社会保障资金的良好记录；</w:t>
      </w:r>
    </w:p>
    <w:p w14:paraId="5397D5BF">
      <w:pPr>
        <w:spacing w:line="360" w:lineRule="auto"/>
        <w:ind w:firstLine="480" w:firstLineChars="200"/>
        <w:jc w:val="left"/>
        <w:rPr>
          <w:rFonts w:ascii="宋体" w:hAnsi="宋体"/>
          <w:kern w:val="0"/>
          <w:sz w:val="24"/>
        </w:rPr>
      </w:pPr>
      <w:r>
        <w:rPr>
          <w:rFonts w:hint="eastAsia" w:ascii="宋体" w:hAnsi="宋体"/>
          <w:kern w:val="0"/>
          <w:sz w:val="24"/>
        </w:rPr>
        <w:t>5.参加本次采购活动前三年内，在经营活动中没有重大违法记录；</w:t>
      </w:r>
    </w:p>
    <w:p w14:paraId="58ED6302">
      <w:pPr>
        <w:spacing w:line="360" w:lineRule="auto"/>
        <w:ind w:firstLine="480" w:firstLineChars="200"/>
        <w:jc w:val="left"/>
        <w:rPr>
          <w:rFonts w:ascii="宋体" w:hAnsi="宋体"/>
          <w:kern w:val="0"/>
          <w:sz w:val="24"/>
        </w:rPr>
      </w:pPr>
      <w:r>
        <w:rPr>
          <w:rFonts w:hint="eastAsia" w:ascii="宋体" w:hAnsi="宋体"/>
          <w:kern w:val="0"/>
          <w:sz w:val="24"/>
        </w:rPr>
        <w:t>6.法律、行政法规规定的其他条件。</w:t>
      </w:r>
    </w:p>
    <w:p w14:paraId="0E4F0B35">
      <w:pPr>
        <w:spacing w:line="360" w:lineRule="auto"/>
        <w:ind w:firstLine="480" w:firstLineChars="200"/>
        <w:jc w:val="left"/>
        <w:rPr>
          <w:rFonts w:ascii="宋体" w:hAnsi="宋体"/>
          <w:kern w:val="0"/>
          <w:sz w:val="24"/>
        </w:rPr>
      </w:pPr>
      <w:r>
        <w:rPr>
          <w:rFonts w:hint="eastAsia" w:ascii="宋体" w:hAnsi="宋体"/>
          <w:kern w:val="0"/>
          <w:sz w:val="24"/>
        </w:rPr>
        <w:t>7.我单位及我单位法定代表人、主要负责人近三年内不具有行贿犯罪记录。</w:t>
      </w:r>
    </w:p>
    <w:p w14:paraId="4A6393A5">
      <w:pPr>
        <w:spacing w:line="360" w:lineRule="auto"/>
        <w:ind w:firstLine="480" w:firstLineChars="200"/>
        <w:jc w:val="left"/>
        <w:rPr>
          <w:rFonts w:ascii="宋体" w:hAnsi="宋体"/>
          <w:kern w:val="0"/>
          <w:sz w:val="24"/>
        </w:rPr>
      </w:pPr>
      <w:r>
        <w:rPr>
          <w:rFonts w:hint="eastAsia" w:ascii="宋体" w:hAnsi="宋体"/>
          <w:kern w:val="0"/>
          <w:sz w:val="24"/>
        </w:rPr>
        <w:t>8.我单位未被列入失信被执行人、重大税收违法案件当事人名单、政府采购严重违法失信行为记录名单。</w:t>
      </w:r>
    </w:p>
    <w:p w14:paraId="41F33759">
      <w:pPr>
        <w:spacing w:line="360" w:lineRule="auto"/>
        <w:ind w:firstLine="480" w:firstLineChars="200"/>
        <w:jc w:val="left"/>
        <w:rPr>
          <w:rFonts w:ascii="宋体" w:hAnsi="宋体"/>
          <w:kern w:val="0"/>
          <w:sz w:val="24"/>
        </w:rPr>
      </w:pPr>
      <w:r>
        <w:rPr>
          <w:rFonts w:hint="eastAsia" w:ascii="宋体" w:hAnsi="宋体"/>
          <w:kern w:val="0"/>
          <w:sz w:val="24"/>
        </w:rPr>
        <w:t>本公司对上述承诺的内容事项真实性负责。如经查实上述承诺的内容事项存在虚假，我公司愿意接受以提供虚假材料谋取成交追究法律责任。</w:t>
      </w:r>
    </w:p>
    <w:p w14:paraId="7F2F91F2">
      <w:pPr>
        <w:spacing w:line="360" w:lineRule="auto"/>
        <w:ind w:firstLine="560" w:firstLineChars="200"/>
        <w:jc w:val="left"/>
        <w:rPr>
          <w:rFonts w:ascii="Calibri" w:hAnsi="Calibri"/>
          <w:kern w:val="0"/>
          <w:sz w:val="28"/>
          <w:szCs w:val="28"/>
        </w:rPr>
      </w:pPr>
    </w:p>
    <w:p w14:paraId="36A2BD2E">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14:paraId="239B3A8F">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14:paraId="11C8E15D">
      <w:pPr>
        <w:spacing w:line="360" w:lineRule="auto"/>
        <w:jc w:val="left"/>
        <w:rPr>
          <w:rFonts w:ascii="宋体" w:hAnsi="宋体" w:cs="宋体"/>
          <w:b/>
          <w:bCs/>
          <w:kern w:val="0"/>
          <w:sz w:val="32"/>
          <w:szCs w:val="32"/>
        </w:rPr>
      </w:pPr>
      <w:r>
        <w:rPr>
          <w:rFonts w:hint="eastAsia" w:ascii="Calibri" w:hAnsi="Calibri"/>
          <w:kern w:val="0"/>
          <w:sz w:val="24"/>
          <w:szCs w:val="22"/>
          <w:lang w:eastAsia="en-US"/>
        </w:rPr>
        <w:t xml:space="preserve">日期：  </w:t>
      </w:r>
    </w:p>
    <w:p w14:paraId="4440CE19">
      <w:pPr>
        <w:spacing w:line="360" w:lineRule="auto"/>
        <w:jc w:val="left"/>
        <w:rPr>
          <w:rFonts w:ascii="宋体" w:hAnsi="宋体" w:cs="宋体"/>
          <w:b/>
          <w:bCs/>
          <w:kern w:val="0"/>
          <w:sz w:val="22"/>
          <w:szCs w:val="22"/>
        </w:rPr>
      </w:pPr>
    </w:p>
    <w:p w14:paraId="703F2ED9">
      <w:pPr>
        <w:spacing w:line="360" w:lineRule="auto"/>
        <w:jc w:val="left"/>
        <w:rPr>
          <w:rFonts w:ascii="宋体" w:hAnsi="宋体" w:cs="宋体"/>
          <w:b/>
          <w:bCs/>
          <w:kern w:val="0"/>
          <w:sz w:val="32"/>
          <w:szCs w:val="32"/>
        </w:rPr>
      </w:pPr>
      <w:r>
        <w:rPr>
          <w:rFonts w:ascii="宋体" w:hAnsi="宋体" w:cs="宋体"/>
          <w:b/>
          <w:bCs/>
          <w:kern w:val="0"/>
          <w:sz w:val="32"/>
          <w:szCs w:val="32"/>
        </w:rPr>
        <w:br w:type="page"/>
      </w:r>
    </w:p>
    <w:p w14:paraId="115F994D">
      <w:pPr>
        <w:widowControl/>
        <w:spacing w:line="360" w:lineRule="auto"/>
        <w:jc w:val="left"/>
        <w:outlineLvl w:val="1"/>
        <w:rPr>
          <w:rFonts w:hint="eastAsia" w:ascii="宋体" w:hAnsi="宋体" w:cs="宋体"/>
          <w:b/>
          <w:bCs/>
          <w:kern w:val="0"/>
          <w:sz w:val="32"/>
          <w:szCs w:val="32"/>
          <w:lang w:val="en-US" w:eastAsia="zh-CN"/>
        </w:rPr>
      </w:pPr>
      <w:bookmarkStart w:id="153" w:name="_Toc10634"/>
      <w:bookmarkStart w:id="154" w:name="_Toc24734"/>
      <w:r>
        <w:rPr>
          <w:rFonts w:hint="eastAsia" w:ascii="宋体" w:hAnsi="宋体" w:cs="宋体"/>
          <w:b/>
          <w:bCs/>
          <w:kern w:val="0"/>
          <w:sz w:val="32"/>
          <w:szCs w:val="32"/>
        </w:rPr>
        <w:t>格式1-</w:t>
      </w:r>
      <w:r>
        <w:rPr>
          <w:rFonts w:hint="eastAsia" w:ascii="宋体" w:hAnsi="宋体" w:cs="宋体"/>
          <w:b/>
          <w:bCs/>
          <w:kern w:val="0"/>
          <w:sz w:val="32"/>
          <w:szCs w:val="32"/>
          <w:lang w:val="en-US" w:eastAsia="zh-CN"/>
        </w:rPr>
        <w:t>4</w:t>
      </w:r>
      <w:bookmarkEnd w:id="153"/>
    </w:p>
    <w:p w14:paraId="1A03EB60">
      <w:pPr>
        <w:widowControl/>
        <w:spacing w:line="360" w:lineRule="auto"/>
        <w:jc w:val="center"/>
        <w:outlineLvl w:val="1"/>
        <w:rPr>
          <w:rFonts w:ascii="宋体" w:hAnsi="宋体"/>
          <w:b/>
          <w:kern w:val="0"/>
          <w:sz w:val="32"/>
          <w:szCs w:val="32"/>
        </w:rPr>
      </w:pPr>
      <w:bookmarkStart w:id="155" w:name="_Toc5991"/>
      <w:r>
        <w:rPr>
          <w:rFonts w:hint="eastAsia" w:ascii="宋体" w:hAnsi="宋体"/>
          <w:b/>
          <w:kern w:val="0"/>
          <w:sz w:val="32"/>
          <w:szCs w:val="32"/>
          <w:lang w:eastAsia="zh-CN"/>
        </w:rPr>
        <w:t>四</w:t>
      </w:r>
      <w:r>
        <w:rPr>
          <w:rFonts w:hint="eastAsia" w:ascii="宋体" w:hAnsi="宋体"/>
          <w:b/>
          <w:kern w:val="0"/>
          <w:sz w:val="32"/>
          <w:szCs w:val="32"/>
        </w:rPr>
        <w:t>、</w:t>
      </w:r>
      <w:r>
        <w:rPr>
          <w:rFonts w:hint="eastAsia" w:ascii="宋体" w:hAnsi="宋体"/>
          <w:b/>
          <w:kern w:val="0"/>
          <w:sz w:val="32"/>
          <w:szCs w:val="32"/>
          <w:lang w:val="en-US" w:eastAsia="zh-CN"/>
        </w:rPr>
        <w:t>供应</w:t>
      </w:r>
      <w:r>
        <w:rPr>
          <w:rFonts w:hint="eastAsia" w:ascii="宋体" w:hAnsi="宋体"/>
          <w:b/>
          <w:kern w:val="0"/>
          <w:sz w:val="32"/>
          <w:szCs w:val="32"/>
        </w:rPr>
        <w:t>商其他资格相关证明材料</w:t>
      </w:r>
      <w:bookmarkEnd w:id="154"/>
      <w:bookmarkEnd w:id="155"/>
    </w:p>
    <w:p w14:paraId="6766EBEF">
      <w:pPr>
        <w:spacing w:line="360" w:lineRule="auto"/>
        <w:jc w:val="center"/>
        <w:rPr>
          <w:rFonts w:ascii="宋体" w:hAnsi="宋体" w:cs="宋体"/>
          <w:b/>
          <w:bCs/>
          <w:kern w:val="0"/>
          <w:sz w:val="32"/>
          <w:szCs w:val="32"/>
        </w:rPr>
      </w:pPr>
    </w:p>
    <w:p w14:paraId="3B519603">
      <w:pPr>
        <w:spacing w:line="360" w:lineRule="auto"/>
        <w:ind w:left="422" w:hanging="422" w:hangingChars="200"/>
        <w:jc w:val="left"/>
        <w:rPr>
          <w:rFonts w:ascii="宋体" w:hAnsi="宋体" w:cs="宋体"/>
          <w:b/>
          <w:bCs/>
          <w:kern w:val="0"/>
          <w:sz w:val="28"/>
          <w:szCs w:val="28"/>
        </w:rPr>
        <w:sectPr>
          <w:pgSz w:w="11911" w:h="16838"/>
          <w:pgMar w:top="1440" w:right="1797" w:bottom="1440" w:left="1797" w:header="850" w:footer="737" w:gutter="0"/>
          <w:cols w:space="720" w:num="1"/>
          <w:docGrid w:linePitch="299" w:charSpace="0"/>
        </w:sectPr>
      </w:pPr>
      <w:r>
        <w:rPr>
          <w:rFonts w:hint="eastAsia" w:ascii="宋体" w:hAnsi="宋体" w:cs="宋体"/>
          <w:b/>
          <w:bCs/>
          <w:kern w:val="0"/>
          <w:szCs w:val="21"/>
        </w:rPr>
        <w:t>注：供应商应按照响应文件第四章相关要求提供佐证材料，有格式要求的从其要求，无格式要求的格式自拟。</w:t>
      </w:r>
    </w:p>
    <w:p w14:paraId="207084BD">
      <w:pPr>
        <w:spacing w:line="360" w:lineRule="auto"/>
        <w:rPr>
          <w:rFonts w:ascii="宋体" w:hAnsi="宋体" w:cs="宋体"/>
          <w:b/>
          <w:bCs/>
          <w:kern w:val="0"/>
          <w:sz w:val="28"/>
          <w:szCs w:val="28"/>
        </w:rPr>
        <w:sectPr>
          <w:type w:val="continuous"/>
          <w:pgSz w:w="11911" w:h="16838"/>
          <w:pgMar w:top="1440" w:right="1417" w:bottom="1440" w:left="1417" w:header="465" w:footer="1253" w:gutter="0"/>
          <w:cols w:space="720" w:num="1"/>
          <w:titlePg/>
          <w:docGrid w:linePitch="299" w:charSpace="0"/>
        </w:sectPr>
      </w:pPr>
    </w:p>
    <w:p w14:paraId="35A59F11">
      <w:pPr>
        <w:spacing w:line="360" w:lineRule="auto"/>
        <w:jc w:val="left"/>
        <w:rPr>
          <w:rFonts w:ascii="宋体" w:hAnsi="宋体" w:cs="宋体"/>
          <w:b/>
          <w:bCs/>
          <w:kern w:val="0"/>
          <w:sz w:val="23"/>
          <w:szCs w:val="23"/>
        </w:rPr>
        <w:sectPr>
          <w:type w:val="continuous"/>
          <w:pgSz w:w="11911" w:h="16838"/>
          <w:pgMar w:top="1440" w:right="1417" w:bottom="1440" w:left="1417" w:header="465" w:footer="1253" w:gutter="0"/>
          <w:cols w:space="720" w:num="1"/>
          <w:titlePg/>
          <w:docGrid w:linePitch="299" w:charSpace="0"/>
        </w:sectPr>
      </w:pPr>
    </w:p>
    <w:p w14:paraId="1C25C081">
      <w:pPr>
        <w:spacing w:line="360" w:lineRule="auto"/>
        <w:jc w:val="center"/>
        <w:rPr>
          <w:rFonts w:ascii="宋体" w:hAnsi="宋体" w:cs="微软雅黑"/>
          <w:b/>
          <w:bCs/>
          <w:kern w:val="0"/>
          <w:sz w:val="34"/>
          <w:szCs w:val="34"/>
        </w:rPr>
        <w:sectPr>
          <w:pgSz w:w="11911" w:h="16838"/>
          <w:pgMar w:top="1440" w:right="1797" w:bottom="1440" w:left="1797" w:header="850" w:footer="737" w:gutter="0"/>
          <w:cols w:space="720" w:num="1"/>
          <w:docGrid w:linePitch="299" w:charSpace="0"/>
        </w:sectPr>
      </w:pPr>
    </w:p>
    <w:p w14:paraId="7E6DC154">
      <w:pPr>
        <w:spacing w:line="360" w:lineRule="auto"/>
        <w:jc w:val="center"/>
        <w:rPr>
          <w:rFonts w:ascii="宋体" w:hAnsi="宋体" w:cs="Arial"/>
          <w:b/>
          <w:bCs/>
          <w:w w:val="180"/>
          <w:kern w:val="0"/>
          <w:sz w:val="34"/>
          <w:szCs w:val="34"/>
        </w:rPr>
      </w:pPr>
      <w:r>
        <w:rPr>
          <w:rFonts w:ascii="宋体" w:hAnsi="宋体" w:cs="微软雅黑"/>
          <w:b/>
          <w:bCs/>
          <w:kern w:val="0"/>
          <w:sz w:val="34"/>
          <w:szCs w:val="34"/>
        </w:rPr>
        <w:t>（响应文件分资格性响应文件和技术、服务性响应文件两部分，应分册装订密封）</w:t>
      </w:r>
      <w:r>
        <w:rPr>
          <w:rFonts w:ascii="宋体" w:hAnsi="宋体" w:cs="Arial"/>
          <w:b/>
          <w:bCs/>
          <w:w w:val="180"/>
          <w:kern w:val="0"/>
          <w:sz w:val="34"/>
          <w:szCs w:val="34"/>
        </w:rPr>
        <w:t xml:space="preserve"> </w:t>
      </w:r>
    </w:p>
    <w:p w14:paraId="7E0652F9">
      <w:pPr>
        <w:spacing w:line="360" w:lineRule="auto"/>
        <w:jc w:val="right"/>
        <w:rPr>
          <w:rFonts w:ascii="宋体" w:hAnsi="宋体" w:cs="微软雅黑"/>
          <w:b/>
          <w:bCs/>
          <w:w w:val="110"/>
          <w:kern w:val="0"/>
          <w:sz w:val="36"/>
          <w:szCs w:val="36"/>
        </w:rPr>
      </w:pPr>
      <w:r>
        <w:rPr>
          <w:rFonts w:ascii="宋体" w:hAnsi="宋体" w:cs="微软雅黑"/>
          <w:b/>
          <w:bCs/>
          <w:w w:val="110"/>
          <w:kern w:val="0"/>
          <w:sz w:val="36"/>
          <w:szCs w:val="36"/>
        </w:rPr>
        <w:t>（正本</w:t>
      </w:r>
      <w:r>
        <w:rPr>
          <w:rFonts w:ascii="宋体" w:hAnsi="宋体" w:cs="Arial"/>
          <w:b/>
          <w:bCs/>
          <w:w w:val="110"/>
          <w:kern w:val="0"/>
          <w:sz w:val="36"/>
          <w:szCs w:val="36"/>
        </w:rPr>
        <w:t>/</w:t>
      </w:r>
      <w:r>
        <w:rPr>
          <w:rFonts w:ascii="宋体" w:hAnsi="宋体" w:cs="微软雅黑"/>
          <w:b/>
          <w:bCs/>
          <w:w w:val="110"/>
          <w:kern w:val="0"/>
          <w:sz w:val="36"/>
          <w:szCs w:val="36"/>
        </w:rPr>
        <w:t>副本）</w:t>
      </w:r>
    </w:p>
    <w:p w14:paraId="26E96473">
      <w:pPr>
        <w:spacing w:line="360" w:lineRule="auto"/>
        <w:jc w:val="right"/>
        <w:rPr>
          <w:rFonts w:ascii="宋体" w:hAnsi="宋体" w:cs="微软雅黑"/>
          <w:b/>
          <w:bCs/>
          <w:w w:val="110"/>
          <w:kern w:val="0"/>
          <w:sz w:val="36"/>
          <w:szCs w:val="36"/>
        </w:rPr>
      </w:pPr>
    </w:p>
    <w:p w14:paraId="39117C64">
      <w:pPr>
        <w:keepNext/>
        <w:keepLines/>
        <w:spacing w:line="360" w:lineRule="auto"/>
        <w:jc w:val="center"/>
        <w:outlineLvl w:val="1"/>
        <w:rPr>
          <w:rFonts w:ascii="宋体" w:hAnsi="宋体"/>
          <w:b/>
          <w:bCs/>
          <w:kern w:val="0"/>
          <w:sz w:val="36"/>
          <w:szCs w:val="20"/>
        </w:rPr>
      </w:pPr>
      <w:bookmarkStart w:id="156" w:name="_Toc502912101"/>
      <w:bookmarkStart w:id="157" w:name="_Toc504991353"/>
      <w:bookmarkStart w:id="158" w:name="_Toc14375"/>
      <w:bookmarkStart w:id="159" w:name="_Toc30101"/>
      <w:bookmarkStart w:id="160" w:name="_Toc504988308"/>
      <w:bookmarkStart w:id="161" w:name="_Toc504987209"/>
      <w:bookmarkStart w:id="162" w:name="_Toc26572"/>
      <w:r>
        <w:rPr>
          <w:rFonts w:ascii="宋体" w:hAnsi="宋体"/>
          <w:b/>
          <w:bCs/>
          <w:sz w:val="52"/>
          <w:szCs w:val="52"/>
        </w:rPr>
        <w:t>第</w:t>
      </w:r>
      <w:r>
        <w:rPr>
          <w:rFonts w:hint="eastAsia" w:ascii="宋体" w:hAnsi="宋体"/>
          <w:b/>
          <w:bCs/>
          <w:sz w:val="52"/>
          <w:szCs w:val="52"/>
        </w:rPr>
        <w:t>二</w:t>
      </w:r>
      <w:r>
        <w:rPr>
          <w:rFonts w:ascii="宋体" w:hAnsi="宋体"/>
          <w:b/>
          <w:bCs/>
          <w:sz w:val="52"/>
          <w:szCs w:val="52"/>
        </w:rPr>
        <w:t>部分  技术、服务</w:t>
      </w:r>
      <w:r>
        <w:rPr>
          <w:rFonts w:hint="eastAsia" w:ascii="宋体" w:hAnsi="宋体"/>
          <w:b/>
          <w:bCs/>
          <w:sz w:val="52"/>
          <w:szCs w:val="52"/>
        </w:rPr>
        <w:t>性</w:t>
      </w:r>
      <w:r>
        <w:rPr>
          <w:rFonts w:ascii="宋体" w:hAnsi="宋体"/>
          <w:b/>
          <w:bCs/>
          <w:sz w:val="52"/>
          <w:szCs w:val="52"/>
        </w:rPr>
        <w:t>响应文件</w:t>
      </w:r>
      <w:bookmarkEnd w:id="156"/>
      <w:bookmarkEnd w:id="157"/>
      <w:bookmarkEnd w:id="158"/>
      <w:bookmarkEnd w:id="159"/>
      <w:bookmarkEnd w:id="160"/>
      <w:bookmarkEnd w:id="161"/>
      <w:bookmarkEnd w:id="162"/>
    </w:p>
    <w:p w14:paraId="7B270AD3">
      <w:pPr>
        <w:widowControl/>
        <w:spacing w:line="360" w:lineRule="auto"/>
        <w:jc w:val="center"/>
        <w:rPr>
          <w:rFonts w:ascii="宋体" w:hAnsi="宋体"/>
          <w:b/>
          <w:kern w:val="0"/>
          <w:sz w:val="36"/>
          <w:szCs w:val="20"/>
        </w:rPr>
      </w:pPr>
    </w:p>
    <w:p w14:paraId="68E6A22B">
      <w:pPr>
        <w:widowControl/>
        <w:spacing w:line="360" w:lineRule="auto"/>
        <w:jc w:val="center"/>
        <w:rPr>
          <w:rFonts w:ascii="宋体" w:hAnsi="宋体"/>
          <w:b/>
          <w:kern w:val="0"/>
          <w:sz w:val="36"/>
          <w:szCs w:val="20"/>
        </w:rPr>
      </w:pPr>
    </w:p>
    <w:p w14:paraId="07546CF2">
      <w:pPr>
        <w:widowControl/>
        <w:spacing w:line="360" w:lineRule="auto"/>
        <w:ind w:firstLine="361" w:firstLineChars="100"/>
        <w:jc w:val="left"/>
        <w:rPr>
          <w:rFonts w:ascii="宋体" w:hAnsi="宋体"/>
          <w:b/>
          <w:kern w:val="0"/>
          <w:sz w:val="36"/>
          <w:szCs w:val="20"/>
          <w:u w:val="single"/>
        </w:rPr>
      </w:pPr>
      <w:r>
        <w:rPr>
          <w:rFonts w:ascii="宋体" w:hAnsi="宋体"/>
          <w:b/>
          <w:kern w:val="0"/>
          <w:sz w:val="36"/>
          <w:szCs w:val="20"/>
        </w:rPr>
        <w:t>项目名称：</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14:paraId="1D1C8398">
      <w:pPr>
        <w:widowControl/>
        <w:spacing w:line="360" w:lineRule="auto"/>
        <w:ind w:firstLine="361" w:firstLineChars="100"/>
        <w:jc w:val="left"/>
        <w:rPr>
          <w:rFonts w:ascii="宋体" w:hAnsi="宋体"/>
          <w:b/>
          <w:kern w:val="0"/>
          <w:sz w:val="36"/>
          <w:szCs w:val="20"/>
          <w:u w:val="single"/>
        </w:rPr>
      </w:pPr>
      <w:r>
        <w:rPr>
          <w:rFonts w:ascii="宋体" w:hAnsi="宋体"/>
          <w:b/>
          <w:kern w:val="0"/>
          <w:sz w:val="36"/>
          <w:szCs w:val="20"/>
        </w:rPr>
        <w:t>采购编号：</w:t>
      </w:r>
      <w:r>
        <w:rPr>
          <w:rFonts w:ascii="宋体" w:hAnsi="宋体"/>
          <w:b/>
          <w:kern w:val="0"/>
          <w:sz w:val="36"/>
          <w:szCs w:val="20"/>
          <w:u w:val="single"/>
        </w:rPr>
        <w:t xml:space="preserve">     </w:t>
      </w:r>
      <w:r>
        <w:rPr>
          <w:rFonts w:hint="eastAsia" w:ascii="宋体" w:hAnsi="宋体"/>
          <w:b/>
          <w:kern w:val="0"/>
          <w:sz w:val="36"/>
          <w:szCs w:val="20"/>
          <w:u w:val="single"/>
        </w:rPr>
        <w:t xml:space="preserve">               </w:t>
      </w:r>
      <w:r>
        <w:rPr>
          <w:rFonts w:ascii="宋体" w:hAnsi="宋体"/>
          <w:b/>
          <w:kern w:val="0"/>
          <w:sz w:val="36"/>
          <w:szCs w:val="20"/>
          <w:u w:val="single"/>
        </w:rPr>
        <w:t xml:space="preserve">          </w:t>
      </w:r>
    </w:p>
    <w:p w14:paraId="3EC94033">
      <w:pPr>
        <w:widowControl/>
        <w:spacing w:line="360" w:lineRule="auto"/>
        <w:ind w:firstLine="361" w:firstLineChars="100"/>
        <w:jc w:val="left"/>
        <w:rPr>
          <w:rFonts w:ascii="宋体" w:hAnsi="宋体"/>
          <w:b/>
          <w:kern w:val="0"/>
          <w:sz w:val="36"/>
          <w:szCs w:val="20"/>
        </w:rPr>
      </w:pPr>
    </w:p>
    <w:p w14:paraId="6947DDE1">
      <w:pPr>
        <w:widowControl/>
        <w:spacing w:line="360" w:lineRule="auto"/>
        <w:jc w:val="left"/>
        <w:rPr>
          <w:rFonts w:ascii="宋体" w:hAnsi="宋体"/>
          <w:b/>
          <w:kern w:val="0"/>
          <w:sz w:val="36"/>
          <w:szCs w:val="20"/>
        </w:rPr>
      </w:pPr>
    </w:p>
    <w:p w14:paraId="0AF42604">
      <w:pPr>
        <w:widowControl/>
        <w:spacing w:line="360" w:lineRule="auto"/>
        <w:jc w:val="left"/>
        <w:rPr>
          <w:rFonts w:ascii="宋体" w:hAnsi="宋体"/>
          <w:b/>
          <w:kern w:val="0"/>
          <w:sz w:val="36"/>
          <w:szCs w:val="20"/>
        </w:rPr>
      </w:pPr>
    </w:p>
    <w:p w14:paraId="21A3817D">
      <w:pPr>
        <w:widowControl/>
        <w:spacing w:line="360" w:lineRule="auto"/>
        <w:ind w:firstLine="562" w:firstLineChars="200"/>
        <w:jc w:val="left"/>
        <w:rPr>
          <w:rFonts w:ascii="宋体" w:hAnsi="宋体"/>
          <w:b/>
          <w:kern w:val="0"/>
          <w:sz w:val="28"/>
          <w:szCs w:val="28"/>
          <w:u w:val="single"/>
        </w:rPr>
      </w:pPr>
      <w:r>
        <w:rPr>
          <w:rFonts w:ascii="宋体" w:hAnsi="宋体"/>
          <w:b/>
          <w:kern w:val="0"/>
          <w:sz w:val="28"/>
          <w:szCs w:val="28"/>
        </w:rPr>
        <w:t>供应商名称 ：</w:t>
      </w:r>
      <w:r>
        <w:rPr>
          <w:rFonts w:ascii="宋体" w:hAnsi="宋体"/>
          <w:b/>
          <w:kern w:val="0"/>
          <w:sz w:val="28"/>
          <w:szCs w:val="28"/>
          <w:u w:val="single"/>
        </w:rPr>
        <w:t xml:space="preserve">                                </w:t>
      </w:r>
    </w:p>
    <w:p w14:paraId="060674D2">
      <w:pPr>
        <w:widowControl/>
        <w:spacing w:line="360" w:lineRule="auto"/>
        <w:ind w:firstLine="562" w:firstLineChars="200"/>
        <w:jc w:val="left"/>
        <w:rPr>
          <w:rFonts w:ascii="宋体" w:hAnsi="宋体"/>
          <w:b/>
          <w:kern w:val="0"/>
          <w:sz w:val="28"/>
          <w:szCs w:val="28"/>
        </w:rPr>
      </w:pPr>
      <w:r>
        <w:rPr>
          <w:rFonts w:ascii="宋体" w:hAnsi="宋体"/>
          <w:b/>
          <w:kern w:val="0"/>
          <w:sz w:val="28"/>
          <w:szCs w:val="28"/>
        </w:rPr>
        <w:t>日期 ：</w:t>
      </w:r>
      <w:r>
        <w:rPr>
          <w:rFonts w:hint="eastAsia" w:ascii="宋体" w:hAnsi="宋体"/>
          <w:b/>
          <w:kern w:val="0"/>
          <w:sz w:val="28"/>
          <w:szCs w:val="28"/>
          <w:lang w:eastAsia="zh-CN"/>
        </w:rPr>
        <w:t>202</w:t>
      </w:r>
      <w:r>
        <w:rPr>
          <w:rFonts w:ascii="宋体" w:hAnsi="宋体"/>
          <w:b/>
          <w:kern w:val="0"/>
          <w:sz w:val="28"/>
          <w:szCs w:val="28"/>
          <w:u w:val="single"/>
        </w:rPr>
        <w:t xml:space="preserve">  </w:t>
      </w:r>
      <w:r>
        <w:rPr>
          <w:rFonts w:ascii="宋体" w:hAnsi="宋体"/>
          <w:b/>
          <w:kern w:val="0"/>
          <w:sz w:val="28"/>
          <w:szCs w:val="28"/>
        </w:rPr>
        <w:t>年</w:t>
      </w:r>
      <w:r>
        <w:rPr>
          <w:rFonts w:ascii="宋体" w:hAnsi="宋体"/>
          <w:b/>
          <w:kern w:val="0"/>
          <w:sz w:val="28"/>
          <w:szCs w:val="28"/>
          <w:u w:val="single"/>
        </w:rPr>
        <w:t xml:space="preserve">   </w:t>
      </w:r>
      <w:r>
        <w:rPr>
          <w:rFonts w:ascii="宋体" w:hAnsi="宋体"/>
          <w:b/>
          <w:kern w:val="0"/>
          <w:sz w:val="28"/>
          <w:szCs w:val="28"/>
        </w:rPr>
        <w:t>月</w:t>
      </w:r>
      <w:r>
        <w:rPr>
          <w:rFonts w:ascii="宋体" w:hAnsi="宋体"/>
          <w:b/>
          <w:kern w:val="0"/>
          <w:sz w:val="28"/>
          <w:szCs w:val="28"/>
          <w:u w:val="single"/>
        </w:rPr>
        <w:t xml:space="preserve">   </w:t>
      </w:r>
      <w:r>
        <w:rPr>
          <w:rFonts w:ascii="宋体" w:hAnsi="宋体"/>
          <w:b/>
          <w:kern w:val="0"/>
          <w:sz w:val="28"/>
          <w:szCs w:val="28"/>
        </w:rPr>
        <w:t>日</w:t>
      </w:r>
    </w:p>
    <w:p w14:paraId="06B8962C">
      <w:pPr>
        <w:spacing w:line="360" w:lineRule="auto"/>
        <w:jc w:val="left"/>
        <w:rPr>
          <w:rFonts w:ascii="宋体" w:hAnsi="宋体" w:cs="宋体"/>
          <w:b/>
          <w:bCs/>
          <w:kern w:val="0"/>
          <w:sz w:val="24"/>
        </w:rPr>
        <w:sectPr>
          <w:type w:val="continuous"/>
          <w:pgSz w:w="11911" w:h="16838"/>
          <w:pgMar w:top="1440" w:right="1417" w:bottom="1440" w:left="1417" w:header="465" w:footer="1253" w:gutter="0"/>
          <w:cols w:space="720" w:num="1"/>
          <w:titlePg/>
          <w:docGrid w:linePitch="299" w:charSpace="0"/>
        </w:sectPr>
      </w:pPr>
    </w:p>
    <w:p w14:paraId="4DEC6DCC">
      <w:pPr>
        <w:spacing w:line="360" w:lineRule="auto"/>
        <w:jc w:val="left"/>
        <w:rPr>
          <w:rFonts w:ascii="宋体" w:hAnsi="宋体" w:cs="宋体"/>
          <w:b/>
          <w:bCs/>
          <w:kern w:val="0"/>
          <w:sz w:val="28"/>
          <w:szCs w:val="28"/>
        </w:rPr>
      </w:pPr>
      <w:r>
        <w:rPr>
          <w:rFonts w:hint="eastAsia" w:ascii="宋体" w:hAnsi="宋体" w:cs="宋体"/>
          <w:b/>
          <w:bCs/>
          <w:kern w:val="0"/>
          <w:sz w:val="32"/>
          <w:szCs w:val="32"/>
        </w:rPr>
        <w:t>格式2-1</w:t>
      </w:r>
    </w:p>
    <w:p w14:paraId="5D4DD379">
      <w:pPr>
        <w:widowControl/>
        <w:numPr>
          <w:ilvl w:val="0"/>
          <w:numId w:val="1"/>
        </w:numPr>
        <w:spacing w:line="360" w:lineRule="auto"/>
        <w:jc w:val="center"/>
        <w:outlineLvl w:val="1"/>
        <w:rPr>
          <w:rFonts w:ascii="宋体" w:hAnsi="宋体"/>
          <w:b/>
          <w:kern w:val="0"/>
          <w:sz w:val="32"/>
          <w:szCs w:val="32"/>
          <w:lang w:eastAsia="en-US"/>
        </w:rPr>
      </w:pPr>
      <w:bookmarkStart w:id="163" w:name="_Toc504987210"/>
      <w:bookmarkStart w:id="164" w:name="_Toc504991354"/>
      <w:bookmarkStart w:id="165" w:name="_Toc15129"/>
      <w:bookmarkStart w:id="166" w:name="_Toc30542"/>
      <w:bookmarkStart w:id="167" w:name="_Toc502912102"/>
      <w:bookmarkStart w:id="168" w:name="_Toc504988309"/>
      <w:bookmarkStart w:id="169" w:name="_Toc10923"/>
      <w:r>
        <w:rPr>
          <w:rFonts w:hint="eastAsia" w:ascii="宋体" w:hAnsi="宋体"/>
          <w:b/>
          <w:kern w:val="0"/>
          <w:sz w:val="32"/>
          <w:szCs w:val="32"/>
        </w:rPr>
        <w:t>响应</w:t>
      </w:r>
      <w:r>
        <w:rPr>
          <w:rFonts w:hint="eastAsia" w:ascii="宋体" w:hAnsi="宋体"/>
          <w:b/>
          <w:kern w:val="0"/>
          <w:sz w:val="32"/>
          <w:szCs w:val="32"/>
          <w:lang w:eastAsia="en-US"/>
        </w:rPr>
        <w:t>函</w:t>
      </w:r>
      <w:bookmarkEnd w:id="163"/>
      <w:bookmarkEnd w:id="164"/>
      <w:bookmarkEnd w:id="165"/>
      <w:bookmarkEnd w:id="166"/>
      <w:bookmarkEnd w:id="167"/>
      <w:bookmarkEnd w:id="168"/>
      <w:bookmarkEnd w:id="169"/>
    </w:p>
    <w:p w14:paraId="72302795">
      <w:pPr>
        <w:spacing w:line="360" w:lineRule="auto"/>
        <w:jc w:val="left"/>
        <w:rPr>
          <w:rFonts w:ascii="宋体" w:hAnsi="Calibri"/>
          <w:kern w:val="0"/>
          <w:sz w:val="24"/>
          <w:szCs w:val="22"/>
        </w:rPr>
      </w:pPr>
      <w:r>
        <w:rPr>
          <w:rFonts w:hint="eastAsia" w:ascii="宋体" w:hAnsi="Calibri"/>
          <w:kern w:val="0"/>
          <w:sz w:val="24"/>
          <w:szCs w:val="22"/>
          <w:lang w:val="zh-CN"/>
        </w:rPr>
        <w:t>四川省成都市第二中学</w:t>
      </w:r>
      <w:r>
        <w:rPr>
          <w:rFonts w:hint="eastAsia" w:ascii="宋体" w:hAnsi="Calibri"/>
          <w:kern w:val="0"/>
          <w:sz w:val="24"/>
          <w:szCs w:val="22"/>
        </w:rPr>
        <w:t>：</w:t>
      </w:r>
    </w:p>
    <w:p w14:paraId="791E8B04">
      <w:pPr>
        <w:spacing w:line="360" w:lineRule="auto"/>
        <w:ind w:firstLine="480" w:firstLineChars="200"/>
        <w:jc w:val="left"/>
        <w:rPr>
          <w:rFonts w:ascii="宋体" w:hAnsi="Calibri"/>
          <w:kern w:val="0"/>
          <w:sz w:val="24"/>
          <w:szCs w:val="22"/>
        </w:rPr>
      </w:pPr>
      <w:r>
        <w:rPr>
          <w:rFonts w:hint="eastAsia" w:ascii="宋体" w:hAnsi="Calibri"/>
          <w:kern w:val="0"/>
          <w:sz w:val="24"/>
          <w:szCs w:val="22"/>
        </w:rPr>
        <w:t>我方全面研究了 “</w:t>
      </w:r>
      <w:r>
        <w:rPr>
          <w:rFonts w:hint="eastAsia" w:ascii="宋体" w:hAnsi="Calibri"/>
          <w:kern w:val="0"/>
          <w:sz w:val="24"/>
          <w:szCs w:val="22"/>
          <w:u w:val="single"/>
        </w:rPr>
        <w:t>　　　　　　　　　　　　　　　</w:t>
      </w:r>
      <w:r>
        <w:rPr>
          <w:rFonts w:hint="eastAsia" w:ascii="宋体" w:hAnsi="Calibri"/>
          <w:kern w:val="0"/>
          <w:sz w:val="24"/>
          <w:szCs w:val="22"/>
        </w:rPr>
        <w:t>”项目谈判文件（采购项目编号：</w:t>
      </w:r>
      <w:r>
        <w:rPr>
          <w:rFonts w:hint="eastAsia" w:ascii="宋体" w:hAnsi="Calibri"/>
          <w:kern w:val="0"/>
          <w:sz w:val="24"/>
          <w:szCs w:val="22"/>
          <w:u w:val="single"/>
        </w:rPr>
        <w:t xml:space="preserve">　　        </w:t>
      </w:r>
      <w:r>
        <w:rPr>
          <w:rFonts w:hint="eastAsia" w:ascii="宋体" w:hAnsi="Calibri"/>
          <w:kern w:val="0"/>
          <w:sz w:val="24"/>
          <w:szCs w:val="22"/>
        </w:rPr>
        <w:t>），决定参加贵单位组织的本项目谈判。我方授权</w:t>
      </w:r>
      <w:r>
        <w:rPr>
          <w:rFonts w:hint="eastAsia" w:ascii="宋体" w:hAnsi="Calibri"/>
          <w:kern w:val="0"/>
          <w:sz w:val="24"/>
          <w:szCs w:val="22"/>
          <w:u w:val="single"/>
        </w:rPr>
        <w:t xml:space="preserve">           （姓名、职务）</w:t>
      </w:r>
      <w:r>
        <w:rPr>
          <w:rFonts w:hint="eastAsia" w:ascii="宋体" w:hAnsi="Calibri"/>
          <w:kern w:val="0"/>
          <w:sz w:val="24"/>
          <w:szCs w:val="22"/>
        </w:rPr>
        <w:t>代表我方</w:t>
      </w:r>
      <w:r>
        <w:rPr>
          <w:rFonts w:hint="eastAsia" w:ascii="宋体" w:hAnsi="Calibri"/>
          <w:kern w:val="0"/>
          <w:sz w:val="24"/>
          <w:szCs w:val="22"/>
          <w:u w:val="single"/>
        </w:rPr>
        <w:t xml:space="preserve">            （供应商名称）</w:t>
      </w:r>
      <w:r>
        <w:rPr>
          <w:rFonts w:hint="eastAsia" w:ascii="宋体" w:hAnsi="Calibri"/>
          <w:kern w:val="0"/>
          <w:sz w:val="24"/>
          <w:szCs w:val="22"/>
        </w:rPr>
        <w:t>全权处理本项目的有关事宜。</w:t>
      </w:r>
    </w:p>
    <w:p w14:paraId="74D26B85">
      <w:pPr>
        <w:spacing w:line="360" w:lineRule="auto"/>
        <w:ind w:firstLine="600" w:firstLineChars="250"/>
        <w:jc w:val="left"/>
        <w:rPr>
          <w:rFonts w:ascii="宋体" w:hAnsi="Calibri"/>
          <w:kern w:val="0"/>
          <w:sz w:val="24"/>
          <w:szCs w:val="22"/>
        </w:rPr>
      </w:pPr>
      <w:r>
        <w:rPr>
          <w:rFonts w:hint="eastAsia" w:ascii="宋体" w:hAnsi="Calibri"/>
          <w:kern w:val="0"/>
          <w:sz w:val="24"/>
          <w:szCs w:val="22"/>
        </w:rPr>
        <w:t>1、</w:t>
      </w:r>
      <w:r>
        <w:rPr>
          <w:rFonts w:ascii="Calibri" w:hAnsi="Calibri"/>
          <w:sz w:val="24"/>
          <w:szCs w:val="22"/>
        </w:rPr>
        <w:t>我</w:t>
      </w:r>
      <w:r>
        <w:rPr>
          <w:rFonts w:hint="eastAsia" w:ascii="Calibri" w:hAnsi="Calibri"/>
          <w:sz w:val="24"/>
          <w:szCs w:val="22"/>
        </w:rPr>
        <w:t>方</w:t>
      </w:r>
      <w:r>
        <w:rPr>
          <w:rFonts w:ascii="Calibri" w:hAnsi="Calibri"/>
          <w:sz w:val="24"/>
          <w:szCs w:val="22"/>
        </w:rPr>
        <w:t>自愿按照竞争性</w:t>
      </w:r>
      <w:r>
        <w:rPr>
          <w:rFonts w:hint="eastAsia" w:ascii="Calibri" w:hAnsi="Calibri"/>
          <w:sz w:val="24"/>
          <w:szCs w:val="22"/>
        </w:rPr>
        <w:t>谈判</w:t>
      </w:r>
      <w:r>
        <w:rPr>
          <w:rFonts w:ascii="Calibri" w:hAnsi="Calibri"/>
          <w:sz w:val="24"/>
          <w:szCs w:val="22"/>
        </w:rPr>
        <w:t>文件规定的各项要求向采购人提供所需</w:t>
      </w:r>
      <w:r>
        <w:rPr>
          <w:rFonts w:hint="eastAsia" w:ascii="Calibri" w:hAnsi="Calibri"/>
          <w:sz w:val="24"/>
          <w:szCs w:val="22"/>
        </w:rPr>
        <w:t>货物或服务。</w:t>
      </w:r>
    </w:p>
    <w:p w14:paraId="2FBC08C4">
      <w:pPr>
        <w:spacing w:line="360" w:lineRule="auto"/>
        <w:ind w:firstLine="600" w:firstLineChars="250"/>
        <w:jc w:val="left"/>
        <w:rPr>
          <w:rFonts w:ascii="宋体" w:hAnsi="Calibri"/>
          <w:kern w:val="0"/>
          <w:sz w:val="24"/>
          <w:szCs w:val="22"/>
        </w:rPr>
      </w:pPr>
      <w:r>
        <w:rPr>
          <w:rFonts w:hint="eastAsia" w:ascii="宋体" w:hAnsi="Calibri"/>
          <w:kern w:val="0"/>
          <w:sz w:val="24"/>
          <w:szCs w:val="22"/>
        </w:rPr>
        <w:t>2、一旦我方中选，我方将严格履行采购合同规定的责任和义务，否则将承担由此产生的一切责任。</w:t>
      </w:r>
    </w:p>
    <w:p w14:paraId="44802087">
      <w:pPr>
        <w:spacing w:line="360" w:lineRule="auto"/>
        <w:ind w:firstLine="600" w:firstLineChars="250"/>
        <w:jc w:val="left"/>
        <w:rPr>
          <w:rFonts w:ascii="宋体" w:hAnsi="Calibri"/>
          <w:kern w:val="0"/>
          <w:sz w:val="24"/>
          <w:szCs w:val="22"/>
        </w:rPr>
      </w:pPr>
      <w:r>
        <w:rPr>
          <w:rFonts w:hint="eastAsia" w:ascii="宋体" w:hAnsi="Calibri"/>
          <w:kern w:val="0"/>
          <w:sz w:val="24"/>
          <w:szCs w:val="22"/>
          <w:lang w:val="en-US" w:eastAsia="zh-CN"/>
        </w:rPr>
        <w:t>3</w:t>
      </w:r>
      <w:r>
        <w:rPr>
          <w:rFonts w:hint="eastAsia" w:ascii="宋体" w:hAnsi="Calibri"/>
          <w:kern w:val="0"/>
          <w:sz w:val="24"/>
          <w:szCs w:val="22"/>
        </w:rPr>
        <w:t>、我方为本项目提交的响应文件正本1份，副本</w:t>
      </w:r>
      <w:r>
        <w:rPr>
          <w:rFonts w:hint="eastAsia" w:ascii="宋体" w:hAnsi="Calibri"/>
          <w:kern w:val="0"/>
          <w:sz w:val="24"/>
          <w:szCs w:val="22"/>
          <w:u w:val="single"/>
        </w:rPr>
        <w:t xml:space="preserve">     </w:t>
      </w:r>
      <w:r>
        <w:rPr>
          <w:rFonts w:hint="eastAsia" w:ascii="宋体" w:hAnsi="Calibri"/>
          <w:kern w:val="0"/>
          <w:sz w:val="24"/>
          <w:szCs w:val="22"/>
        </w:rPr>
        <w:t>份。</w:t>
      </w:r>
    </w:p>
    <w:p w14:paraId="639663AA">
      <w:pPr>
        <w:spacing w:line="360" w:lineRule="auto"/>
        <w:ind w:firstLine="600" w:firstLineChars="250"/>
        <w:jc w:val="left"/>
        <w:rPr>
          <w:rFonts w:ascii="宋体" w:hAnsi="Calibri"/>
          <w:kern w:val="0"/>
          <w:sz w:val="24"/>
          <w:szCs w:val="22"/>
        </w:rPr>
      </w:pPr>
      <w:r>
        <w:rPr>
          <w:rFonts w:hint="eastAsia" w:ascii="宋体" w:hAnsi="Calibri"/>
          <w:kern w:val="0"/>
          <w:sz w:val="24"/>
          <w:szCs w:val="22"/>
          <w:lang w:val="en-US" w:eastAsia="zh-CN"/>
        </w:rPr>
        <w:t>4</w:t>
      </w:r>
      <w:r>
        <w:rPr>
          <w:rFonts w:hint="eastAsia" w:ascii="宋体" w:hAnsi="Calibri"/>
          <w:kern w:val="0"/>
          <w:sz w:val="24"/>
          <w:szCs w:val="22"/>
        </w:rPr>
        <w:t>、我方同意本次采购的谈判有效期为递交谈判响应文件截止之日起</w:t>
      </w:r>
      <w:r>
        <w:rPr>
          <w:rFonts w:hint="eastAsia" w:ascii="宋体" w:hAnsi="Calibri"/>
          <w:kern w:val="0"/>
          <w:sz w:val="24"/>
          <w:szCs w:val="22"/>
          <w:u w:val="single"/>
        </w:rPr>
        <w:t xml:space="preserve"> </w:t>
      </w:r>
      <w:r>
        <w:rPr>
          <w:rFonts w:ascii="宋体" w:hAnsi="Calibri"/>
          <w:kern w:val="0"/>
          <w:sz w:val="24"/>
          <w:szCs w:val="22"/>
          <w:u w:val="single"/>
        </w:rPr>
        <w:t xml:space="preserve">  </w:t>
      </w:r>
      <w:r>
        <w:rPr>
          <w:rFonts w:hint="eastAsia" w:ascii="宋体" w:hAnsi="Calibri"/>
          <w:kern w:val="0"/>
          <w:sz w:val="24"/>
          <w:szCs w:val="22"/>
        </w:rPr>
        <w:t>天。</w:t>
      </w:r>
    </w:p>
    <w:p w14:paraId="78ED038A">
      <w:pPr>
        <w:spacing w:line="360" w:lineRule="auto"/>
        <w:ind w:firstLine="600" w:firstLineChars="250"/>
        <w:jc w:val="left"/>
        <w:rPr>
          <w:rFonts w:ascii="宋体" w:hAnsi="Calibri"/>
          <w:kern w:val="0"/>
          <w:sz w:val="24"/>
          <w:szCs w:val="22"/>
        </w:rPr>
      </w:pPr>
      <w:r>
        <w:rPr>
          <w:rFonts w:hint="eastAsia" w:ascii="宋体" w:hAnsi="Calibri"/>
          <w:kern w:val="0"/>
          <w:sz w:val="24"/>
          <w:szCs w:val="22"/>
          <w:lang w:val="en-US" w:eastAsia="zh-CN"/>
        </w:rPr>
        <w:t>5</w:t>
      </w:r>
      <w:r>
        <w:rPr>
          <w:rFonts w:hint="eastAsia" w:ascii="宋体" w:hAnsi="Calibri"/>
          <w:kern w:val="0"/>
          <w:sz w:val="24"/>
          <w:szCs w:val="22"/>
        </w:rPr>
        <w:t>、我方愿意提供贵中心可能另外要求的与谈判有关的文件资料，并保证我方已提供和将要提供的文件资料是真实、准确的。</w:t>
      </w:r>
    </w:p>
    <w:p w14:paraId="1BB6ABD6">
      <w:pPr>
        <w:spacing w:line="360" w:lineRule="auto"/>
        <w:ind w:left="420" w:leftChars="200" w:firstLine="240" w:firstLineChars="100"/>
        <w:jc w:val="left"/>
        <w:rPr>
          <w:rFonts w:ascii="宋体" w:hAnsi="Calibri"/>
          <w:bCs/>
          <w:kern w:val="0"/>
          <w:sz w:val="24"/>
          <w:szCs w:val="22"/>
        </w:rPr>
      </w:pPr>
      <w:r>
        <w:rPr>
          <w:rFonts w:hint="eastAsia" w:ascii="宋体" w:hAnsi="Calibri"/>
          <w:bCs/>
          <w:kern w:val="0"/>
          <w:sz w:val="24"/>
          <w:szCs w:val="22"/>
          <w:lang w:val="en-US" w:eastAsia="zh-CN"/>
        </w:rPr>
        <w:t>6</w:t>
      </w:r>
      <w:r>
        <w:rPr>
          <w:rFonts w:hint="eastAsia" w:ascii="宋体" w:hAnsi="Calibri"/>
          <w:bCs/>
          <w:kern w:val="0"/>
          <w:sz w:val="24"/>
          <w:szCs w:val="22"/>
        </w:rPr>
        <w:t>、我单位联系方式：</w:t>
      </w:r>
    </w:p>
    <w:p w14:paraId="70B0684C">
      <w:pPr>
        <w:spacing w:line="360" w:lineRule="auto"/>
        <w:ind w:left="420" w:leftChars="200" w:firstLine="240" w:firstLineChars="100"/>
        <w:jc w:val="left"/>
        <w:rPr>
          <w:rFonts w:ascii="宋体" w:hAnsi="Calibri"/>
          <w:bCs/>
          <w:kern w:val="0"/>
          <w:sz w:val="24"/>
          <w:szCs w:val="22"/>
        </w:rPr>
      </w:pPr>
      <w:r>
        <w:rPr>
          <w:rFonts w:hint="eastAsia" w:ascii="宋体" w:hAnsi="Calibri"/>
          <w:bCs/>
          <w:kern w:val="0"/>
          <w:sz w:val="24"/>
          <w:szCs w:val="22"/>
        </w:rPr>
        <w:t xml:space="preserve">地址：                                </w:t>
      </w:r>
    </w:p>
    <w:p w14:paraId="24C82C21">
      <w:pPr>
        <w:spacing w:line="360" w:lineRule="auto"/>
        <w:ind w:left="420" w:leftChars="200" w:firstLine="240" w:firstLineChars="100"/>
        <w:jc w:val="left"/>
        <w:rPr>
          <w:rFonts w:ascii="宋体" w:hAnsi="Calibri"/>
          <w:bCs/>
          <w:kern w:val="0"/>
          <w:sz w:val="24"/>
          <w:szCs w:val="22"/>
        </w:rPr>
      </w:pPr>
      <w:r>
        <w:rPr>
          <w:rFonts w:hint="eastAsia" w:ascii="宋体" w:hAnsi="Calibri"/>
          <w:bCs/>
          <w:kern w:val="0"/>
          <w:sz w:val="24"/>
          <w:szCs w:val="22"/>
        </w:rPr>
        <w:t>联系人：</w:t>
      </w:r>
    </w:p>
    <w:p w14:paraId="476AFA2F">
      <w:pPr>
        <w:spacing w:line="360" w:lineRule="auto"/>
        <w:ind w:left="420" w:leftChars="200" w:firstLine="240" w:firstLineChars="100"/>
        <w:jc w:val="left"/>
        <w:rPr>
          <w:rFonts w:ascii="宋体" w:hAnsi="Calibri"/>
          <w:bCs/>
          <w:kern w:val="0"/>
          <w:sz w:val="24"/>
          <w:szCs w:val="22"/>
        </w:rPr>
      </w:pPr>
      <w:r>
        <w:rPr>
          <w:rFonts w:hint="eastAsia" w:ascii="宋体" w:hAnsi="Calibri"/>
          <w:bCs/>
          <w:kern w:val="0"/>
          <w:sz w:val="24"/>
          <w:szCs w:val="22"/>
        </w:rPr>
        <w:t>联系电话：</w:t>
      </w:r>
    </w:p>
    <w:p w14:paraId="464C2E7A">
      <w:pPr>
        <w:spacing w:line="360" w:lineRule="auto"/>
        <w:ind w:left="420" w:leftChars="200" w:firstLine="240" w:firstLineChars="100"/>
        <w:jc w:val="left"/>
        <w:rPr>
          <w:rFonts w:ascii="宋体" w:hAnsi="Calibri"/>
          <w:bCs/>
          <w:kern w:val="0"/>
          <w:sz w:val="24"/>
          <w:szCs w:val="22"/>
        </w:rPr>
      </w:pPr>
      <w:r>
        <w:rPr>
          <w:rFonts w:hint="eastAsia" w:ascii="宋体" w:hAnsi="Calibri"/>
          <w:bCs/>
          <w:kern w:val="0"/>
          <w:sz w:val="24"/>
          <w:szCs w:val="22"/>
        </w:rPr>
        <w:t xml:space="preserve">传真：                     </w:t>
      </w:r>
    </w:p>
    <w:p w14:paraId="4EB6DA53">
      <w:pPr>
        <w:spacing w:line="360" w:lineRule="auto"/>
        <w:ind w:left="420" w:leftChars="200" w:firstLine="240" w:firstLineChars="100"/>
        <w:jc w:val="left"/>
        <w:rPr>
          <w:rFonts w:ascii="宋体" w:hAnsi="Calibri"/>
          <w:bCs/>
          <w:kern w:val="0"/>
          <w:sz w:val="24"/>
          <w:szCs w:val="22"/>
        </w:rPr>
      </w:pPr>
      <w:r>
        <w:rPr>
          <w:rFonts w:hint="eastAsia" w:ascii="宋体" w:hAnsi="Calibri"/>
          <w:bCs/>
          <w:kern w:val="0"/>
          <w:sz w:val="24"/>
          <w:szCs w:val="22"/>
        </w:rPr>
        <w:t>邮政编码：</w:t>
      </w:r>
    </w:p>
    <w:p w14:paraId="1D2033C6">
      <w:pPr>
        <w:spacing w:line="360" w:lineRule="auto"/>
        <w:jc w:val="left"/>
        <w:rPr>
          <w:rFonts w:ascii="Calibri" w:hAnsi="Calibri"/>
          <w:kern w:val="0"/>
          <w:sz w:val="24"/>
          <w:szCs w:val="22"/>
        </w:rPr>
      </w:pPr>
    </w:p>
    <w:p w14:paraId="6BC7D368">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14:paraId="70B0190D">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14:paraId="65E014A2">
      <w:pPr>
        <w:spacing w:line="360" w:lineRule="auto"/>
        <w:rPr>
          <w:rFonts w:ascii="Calibri" w:hAnsi="Calibri"/>
          <w:sz w:val="24"/>
          <w:szCs w:val="22"/>
        </w:rPr>
      </w:pPr>
      <w:r>
        <w:rPr>
          <w:rFonts w:hint="eastAsia" w:ascii="Calibri" w:hAnsi="Calibri"/>
          <w:kern w:val="0"/>
          <w:sz w:val="24"/>
          <w:szCs w:val="22"/>
        </w:rPr>
        <w:t>日期：</w:t>
      </w:r>
    </w:p>
    <w:p w14:paraId="1CFBB8B8">
      <w:pPr>
        <w:spacing w:line="360" w:lineRule="auto"/>
        <w:ind w:firstLine="480" w:firstLineChars="200"/>
        <w:rPr>
          <w:rFonts w:ascii="Calibri" w:hAnsi="Calibri"/>
          <w:sz w:val="24"/>
          <w:szCs w:val="22"/>
        </w:rPr>
        <w:sectPr>
          <w:pgSz w:w="11911" w:h="16838"/>
          <w:pgMar w:top="1440" w:right="1797" w:bottom="1440" w:left="1797" w:header="850" w:footer="737" w:gutter="0"/>
          <w:cols w:space="720" w:num="1"/>
          <w:docGrid w:linePitch="299" w:charSpace="0"/>
        </w:sectPr>
      </w:pPr>
    </w:p>
    <w:p w14:paraId="4FE7CF52">
      <w:pPr>
        <w:spacing w:line="360" w:lineRule="auto"/>
        <w:jc w:val="left"/>
        <w:rPr>
          <w:rFonts w:ascii="宋体" w:hAnsi="宋体"/>
          <w:b/>
          <w:kern w:val="0"/>
          <w:sz w:val="32"/>
          <w:szCs w:val="32"/>
        </w:rPr>
      </w:pPr>
      <w:r>
        <w:rPr>
          <w:rFonts w:hint="eastAsia" w:ascii="宋体" w:hAnsi="宋体" w:cs="宋体"/>
          <w:b/>
          <w:bCs/>
          <w:kern w:val="0"/>
          <w:sz w:val="32"/>
          <w:szCs w:val="32"/>
        </w:rPr>
        <w:t>格式2-2</w:t>
      </w:r>
    </w:p>
    <w:p w14:paraId="22C08BAB">
      <w:pPr>
        <w:widowControl/>
        <w:numPr>
          <w:ilvl w:val="0"/>
          <w:numId w:val="1"/>
        </w:numPr>
        <w:spacing w:line="360" w:lineRule="auto"/>
        <w:jc w:val="center"/>
        <w:outlineLvl w:val="1"/>
        <w:rPr>
          <w:rFonts w:ascii="宋体" w:hAnsi="宋体"/>
          <w:b/>
          <w:kern w:val="0"/>
          <w:sz w:val="32"/>
          <w:szCs w:val="32"/>
          <w:lang w:eastAsia="en-US"/>
        </w:rPr>
      </w:pPr>
      <w:bookmarkStart w:id="170" w:name="_Toc502912103"/>
      <w:bookmarkStart w:id="171" w:name="_Toc24708"/>
      <w:bookmarkStart w:id="172" w:name="_Toc504991355"/>
      <w:bookmarkStart w:id="173" w:name="_Toc4442"/>
      <w:bookmarkStart w:id="174" w:name="_Toc1975"/>
      <w:bookmarkStart w:id="175" w:name="_Toc504988310"/>
      <w:bookmarkStart w:id="176" w:name="_Toc504987211"/>
      <w:r>
        <w:rPr>
          <w:rFonts w:hint="eastAsia" w:ascii="宋体" w:hAnsi="宋体"/>
          <w:b/>
          <w:kern w:val="0"/>
          <w:sz w:val="32"/>
          <w:szCs w:val="32"/>
          <w:lang w:eastAsia="en-US"/>
        </w:rPr>
        <w:t>承诺函</w:t>
      </w:r>
      <w:bookmarkEnd w:id="170"/>
      <w:bookmarkEnd w:id="171"/>
      <w:bookmarkEnd w:id="172"/>
      <w:bookmarkEnd w:id="173"/>
      <w:bookmarkEnd w:id="174"/>
      <w:bookmarkEnd w:id="175"/>
      <w:bookmarkEnd w:id="176"/>
    </w:p>
    <w:p w14:paraId="5C5BD7AC">
      <w:pPr>
        <w:spacing w:line="360" w:lineRule="auto"/>
        <w:jc w:val="left"/>
        <w:rPr>
          <w:rFonts w:ascii="Calibri" w:hAnsi="Calibri"/>
          <w:kern w:val="0"/>
          <w:sz w:val="24"/>
          <w:szCs w:val="22"/>
          <w:lang w:eastAsia="en-US"/>
        </w:rPr>
      </w:pPr>
    </w:p>
    <w:p w14:paraId="17577CFC">
      <w:pPr>
        <w:spacing w:line="360" w:lineRule="auto"/>
        <w:jc w:val="left"/>
        <w:rPr>
          <w:rFonts w:ascii="Calibri" w:hAnsi="Calibri"/>
          <w:kern w:val="0"/>
          <w:sz w:val="24"/>
          <w:szCs w:val="22"/>
        </w:rPr>
      </w:pPr>
      <w:r>
        <w:rPr>
          <w:rFonts w:hint="eastAsia" w:ascii="Calibri" w:hAnsi="Calibri"/>
          <w:kern w:val="0"/>
          <w:sz w:val="24"/>
          <w:szCs w:val="22"/>
          <w:lang w:val="zh-CN"/>
        </w:rPr>
        <w:t>四川省成都市第二中学</w:t>
      </w:r>
      <w:r>
        <w:rPr>
          <w:rFonts w:hint="eastAsia" w:ascii="Calibri" w:hAnsi="Calibri"/>
          <w:kern w:val="0"/>
          <w:sz w:val="24"/>
          <w:szCs w:val="22"/>
        </w:rPr>
        <w:t>：</w:t>
      </w:r>
    </w:p>
    <w:p w14:paraId="02AAC818">
      <w:pPr>
        <w:spacing w:line="360" w:lineRule="auto"/>
        <w:ind w:firstLine="480" w:firstLineChars="200"/>
        <w:jc w:val="left"/>
        <w:rPr>
          <w:rFonts w:ascii="Calibri" w:hAnsi="Calibri"/>
          <w:kern w:val="0"/>
          <w:sz w:val="24"/>
          <w:szCs w:val="22"/>
        </w:rPr>
      </w:pPr>
      <w:r>
        <w:rPr>
          <w:rFonts w:hint="eastAsia" w:ascii="Calibri" w:hAnsi="Calibri"/>
          <w:kern w:val="0"/>
          <w:sz w:val="24"/>
          <w:szCs w:val="22"/>
        </w:rPr>
        <w:t>我单位作为本次采购项目的供应商，根据谈判文件要求，现郑重承诺如下：</w:t>
      </w:r>
    </w:p>
    <w:p w14:paraId="4408C370">
      <w:pPr>
        <w:spacing w:line="360" w:lineRule="auto"/>
        <w:ind w:firstLine="480" w:firstLineChars="200"/>
        <w:jc w:val="left"/>
        <w:rPr>
          <w:rFonts w:ascii="Calibri" w:hAnsi="Calibri"/>
          <w:kern w:val="0"/>
          <w:sz w:val="24"/>
          <w:szCs w:val="22"/>
        </w:rPr>
      </w:pPr>
      <w:r>
        <w:rPr>
          <w:rFonts w:hint="eastAsia" w:ascii="Calibri" w:hAnsi="Calibri"/>
          <w:kern w:val="0"/>
          <w:sz w:val="24"/>
          <w:szCs w:val="22"/>
        </w:rPr>
        <w:t>一、完全接受和满足本项目谈判文件中规定的实质性要求，如对谈判文件有异议，已依法进行维权救济，不存在对谈判文件有异议的同时又参加谈判以求侥幸中选或者为实现其他非法目的的行为。</w:t>
      </w:r>
    </w:p>
    <w:p w14:paraId="7B390F93">
      <w:pPr>
        <w:spacing w:line="360" w:lineRule="auto"/>
        <w:ind w:firstLine="480" w:firstLineChars="200"/>
        <w:jc w:val="left"/>
        <w:rPr>
          <w:rFonts w:ascii="Calibri" w:hAnsi="Calibri"/>
          <w:kern w:val="0"/>
          <w:sz w:val="24"/>
          <w:szCs w:val="22"/>
        </w:rPr>
      </w:pPr>
      <w:r>
        <w:rPr>
          <w:rFonts w:hint="eastAsia" w:ascii="Calibri" w:hAnsi="Calibri"/>
          <w:kern w:val="0"/>
          <w:sz w:val="24"/>
          <w:szCs w:val="22"/>
        </w:rPr>
        <w:t>二、参加本次谈判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4C6574D4">
      <w:pPr>
        <w:spacing w:line="360" w:lineRule="auto"/>
        <w:ind w:firstLine="480" w:firstLineChars="200"/>
        <w:jc w:val="left"/>
        <w:rPr>
          <w:rFonts w:ascii="Calibri" w:hAnsi="Calibri"/>
          <w:kern w:val="0"/>
          <w:sz w:val="24"/>
          <w:szCs w:val="22"/>
        </w:rPr>
      </w:pPr>
      <w:r>
        <w:rPr>
          <w:rFonts w:hint="eastAsia" w:ascii="Calibri" w:hAnsi="Calibri"/>
          <w:kern w:val="0"/>
          <w:sz w:val="24"/>
          <w:szCs w:val="22"/>
        </w:rPr>
        <w:t>三、参加本次谈判采购活动，不存在和其他供应商在同一合同项下的采购项目中，同时委托同一个自然人、同一家庭的人员、同一单位的人员作为代理人的行为。</w:t>
      </w:r>
    </w:p>
    <w:p w14:paraId="1F9BB057">
      <w:pPr>
        <w:spacing w:line="360" w:lineRule="auto"/>
        <w:ind w:firstLine="480" w:firstLineChars="200"/>
        <w:jc w:val="left"/>
        <w:rPr>
          <w:rFonts w:ascii="Calibri" w:hAnsi="Calibri"/>
          <w:kern w:val="0"/>
          <w:sz w:val="24"/>
          <w:szCs w:val="22"/>
        </w:rPr>
      </w:pPr>
      <w:r>
        <w:rPr>
          <w:rFonts w:hint="eastAsia" w:ascii="Calibri" w:hAnsi="Calibri"/>
          <w:kern w:val="0"/>
          <w:sz w:val="24"/>
          <w:szCs w:val="22"/>
          <w:lang w:eastAsia="zh-CN"/>
        </w:rPr>
        <w:t>四</w:t>
      </w:r>
      <w:r>
        <w:rPr>
          <w:rFonts w:hint="eastAsia" w:ascii="Calibri" w:hAnsi="Calibri"/>
          <w:kern w:val="0"/>
          <w:sz w:val="24"/>
          <w:szCs w:val="22"/>
        </w:rPr>
        <w:t>、不发生任何串通与项目有关的相关单位，损害采购人利益的行为。</w:t>
      </w:r>
    </w:p>
    <w:p w14:paraId="2E41DEA0">
      <w:pPr>
        <w:spacing w:line="360" w:lineRule="auto"/>
        <w:ind w:firstLine="480" w:firstLineChars="200"/>
        <w:jc w:val="left"/>
        <w:rPr>
          <w:rFonts w:ascii="Calibri" w:hAnsi="Calibri"/>
          <w:kern w:val="0"/>
          <w:sz w:val="24"/>
          <w:szCs w:val="22"/>
        </w:rPr>
      </w:pPr>
      <w:r>
        <w:rPr>
          <w:rFonts w:hint="eastAsia" w:ascii="Calibri" w:hAnsi="Calibri"/>
          <w:kern w:val="0"/>
          <w:sz w:val="24"/>
          <w:szCs w:val="22"/>
        </w:rPr>
        <w:t>本单位对上述承诺的内容事项真实性负责。如经查实上述承诺的内容事项存在虚假，我单位愿意接受以提供虚假材料谋取中标追究法律责任。</w:t>
      </w:r>
    </w:p>
    <w:p w14:paraId="2AB696D1">
      <w:pPr>
        <w:spacing w:line="360" w:lineRule="auto"/>
        <w:ind w:firstLine="480" w:firstLineChars="200"/>
        <w:jc w:val="left"/>
        <w:rPr>
          <w:rFonts w:ascii="Calibri" w:hAnsi="Calibri"/>
          <w:kern w:val="0"/>
          <w:sz w:val="24"/>
          <w:szCs w:val="22"/>
        </w:rPr>
      </w:pPr>
    </w:p>
    <w:p w14:paraId="27DC25C9">
      <w:pPr>
        <w:spacing w:line="360" w:lineRule="auto"/>
        <w:jc w:val="left"/>
        <w:rPr>
          <w:rFonts w:ascii="Calibri" w:hAnsi="Calibri"/>
          <w:kern w:val="0"/>
          <w:sz w:val="22"/>
          <w:szCs w:val="22"/>
        </w:rPr>
      </w:pPr>
    </w:p>
    <w:p w14:paraId="230BE8FC">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14:paraId="72983C99">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14:paraId="1EF6AA26">
      <w:pPr>
        <w:spacing w:line="360" w:lineRule="auto"/>
        <w:jc w:val="left"/>
        <w:rPr>
          <w:rFonts w:ascii="宋体" w:hAnsi="宋体" w:cs="宋体"/>
          <w:kern w:val="0"/>
          <w:sz w:val="24"/>
        </w:rPr>
      </w:pPr>
      <w:r>
        <w:rPr>
          <w:rFonts w:hint="eastAsia" w:ascii="Calibri" w:hAnsi="Calibri"/>
          <w:kern w:val="0"/>
          <w:sz w:val="24"/>
          <w:szCs w:val="22"/>
        </w:rPr>
        <w:t>日期：</w:t>
      </w:r>
    </w:p>
    <w:p w14:paraId="1F7142BD">
      <w:pPr>
        <w:spacing w:line="360" w:lineRule="auto"/>
        <w:jc w:val="left"/>
        <w:rPr>
          <w:rFonts w:ascii="宋体" w:hAnsi="宋体" w:cs="宋体"/>
          <w:b/>
          <w:bCs/>
          <w:kern w:val="0"/>
          <w:sz w:val="32"/>
          <w:szCs w:val="32"/>
        </w:rPr>
        <w:sectPr>
          <w:pgSz w:w="11911" w:h="16838"/>
          <w:pgMar w:top="1440" w:right="1797" w:bottom="1440" w:left="1797" w:header="850" w:footer="737" w:gutter="0"/>
          <w:cols w:space="720" w:num="1"/>
          <w:docGrid w:linePitch="299" w:charSpace="0"/>
        </w:sectPr>
      </w:pPr>
    </w:p>
    <w:p w14:paraId="423AA112">
      <w:pPr>
        <w:bidi w:val="0"/>
        <w:rPr>
          <w:b/>
          <w:bCs/>
          <w:sz w:val="28"/>
          <w:szCs w:val="36"/>
        </w:rPr>
      </w:pPr>
      <w:r>
        <w:rPr>
          <w:rFonts w:hint="eastAsia"/>
          <w:b/>
          <w:bCs/>
          <w:sz w:val="28"/>
          <w:szCs w:val="36"/>
        </w:rPr>
        <w:t>格式2-</w:t>
      </w:r>
      <w:r>
        <w:rPr>
          <w:rFonts w:hint="eastAsia"/>
          <w:b/>
          <w:bCs/>
          <w:sz w:val="28"/>
          <w:szCs w:val="36"/>
          <w:lang w:val="en-US" w:eastAsia="zh-CN"/>
        </w:rPr>
        <w:t>3</w:t>
      </w:r>
      <w:bookmarkStart w:id="177" w:name="_Toc504988315"/>
      <w:bookmarkStart w:id="178" w:name="_Toc504987216"/>
      <w:bookmarkStart w:id="179" w:name="_Toc504991360"/>
      <w:bookmarkStart w:id="180" w:name="_Toc502912107"/>
    </w:p>
    <w:p w14:paraId="47E45317">
      <w:pPr>
        <w:pStyle w:val="91"/>
        <w:widowControl/>
        <w:numPr>
          <w:ilvl w:val="0"/>
          <w:numId w:val="0"/>
        </w:numPr>
        <w:spacing w:line="360" w:lineRule="auto"/>
        <w:ind w:leftChars="0"/>
        <w:jc w:val="center"/>
        <w:outlineLvl w:val="1"/>
        <w:rPr>
          <w:rFonts w:ascii="宋体" w:hAnsi="宋体"/>
          <w:b/>
          <w:kern w:val="0"/>
          <w:sz w:val="32"/>
          <w:szCs w:val="32"/>
        </w:rPr>
      </w:pPr>
      <w:bookmarkStart w:id="181" w:name="_Toc31260"/>
      <w:bookmarkStart w:id="182" w:name="_Toc624"/>
      <w:r>
        <w:rPr>
          <w:rFonts w:hint="eastAsia" w:ascii="宋体" w:hAnsi="宋体"/>
          <w:b/>
          <w:kern w:val="0"/>
          <w:sz w:val="32"/>
          <w:szCs w:val="32"/>
          <w:lang w:eastAsia="zh-CN"/>
        </w:rPr>
        <w:t>三、</w:t>
      </w:r>
      <w:r>
        <w:rPr>
          <w:rFonts w:hint="eastAsia" w:ascii="宋体" w:hAnsi="宋体"/>
          <w:b/>
          <w:kern w:val="0"/>
          <w:sz w:val="32"/>
          <w:szCs w:val="32"/>
        </w:rPr>
        <w:t>技术参数表</w:t>
      </w:r>
      <w:bookmarkEnd w:id="177"/>
      <w:bookmarkEnd w:id="178"/>
      <w:bookmarkEnd w:id="179"/>
      <w:bookmarkEnd w:id="180"/>
      <w:bookmarkEnd w:id="181"/>
      <w:bookmarkEnd w:id="182"/>
    </w:p>
    <w:p w14:paraId="06118E2A">
      <w:pPr>
        <w:spacing w:line="360" w:lineRule="auto"/>
        <w:rPr>
          <w:rFonts w:ascii="宋体" w:hAnsi="宋体" w:cs="宋体"/>
          <w:b/>
          <w:color w:val="000000"/>
          <w:sz w:val="24"/>
          <w:u w:val="single"/>
        </w:rPr>
      </w:pPr>
      <w:r>
        <w:rPr>
          <w:rFonts w:hint="eastAsia" w:ascii="宋体" w:hAnsi="宋体" w:cs="宋体"/>
          <w:b/>
          <w:color w:val="000000"/>
          <w:sz w:val="24"/>
        </w:rPr>
        <w:t>项目名称：</w:t>
      </w:r>
    </w:p>
    <w:p w14:paraId="5D562096">
      <w:pPr>
        <w:spacing w:line="360" w:lineRule="auto"/>
        <w:rPr>
          <w:rFonts w:ascii="宋体" w:hAnsi="宋体" w:cs="宋体"/>
          <w:b/>
          <w:color w:val="000000"/>
          <w:sz w:val="24"/>
        </w:rPr>
      </w:pPr>
      <w:r>
        <w:rPr>
          <w:rFonts w:hint="eastAsia" w:ascii="宋体" w:hAnsi="宋体" w:cs="宋体"/>
          <w:b/>
          <w:color w:val="000000"/>
          <w:sz w:val="24"/>
        </w:rPr>
        <w:t>采购项目编号：</w:t>
      </w:r>
    </w:p>
    <w:tbl>
      <w:tblPr>
        <w:tblStyle w:val="44"/>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1851"/>
        <w:gridCol w:w="2203"/>
        <w:gridCol w:w="2203"/>
      </w:tblGrid>
      <w:tr w14:paraId="476D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12" w:space="0"/>
              <w:left w:val="single" w:color="auto" w:sz="12" w:space="0"/>
              <w:bottom w:val="single" w:color="auto" w:sz="4" w:space="0"/>
              <w:right w:val="single" w:color="auto" w:sz="4" w:space="0"/>
            </w:tcBorders>
            <w:vAlign w:val="center"/>
          </w:tcPr>
          <w:p w14:paraId="510EBB72">
            <w:pPr>
              <w:spacing w:line="360" w:lineRule="auto"/>
              <w:jc w:val="center"/>
              <w:rPr>
                <w:rFonts w:ascii="Calibri" w:hAnsi="Calibri"/>
                <w:szCs w:val="22"/>
              </w:rPr>
            </w:pPr>
            <w:r>
              <w:rPr>
                <w:rFonts w:hint="eastAsia" w:ascii="Calibri" w:hAnsi="Calibri"/>
                <w:szCs w:val="22"/>
              </w:rPr>
              <w:t>序号</w:t>
            </w:r>
          </w:p>
        </w:tc>
        <w:tc>
          <w:tcPr>
            <w:tcW w:w="2050" w:type="dxa"/>
            <w:tcBorders>
              <w:top w:val="single" w:color="auto" w:sz="12" w:space="0"/>
              <w:left w:val="single" w:color="auto" w:sz="4" w:space="0"/>
              <w:bottom w:val="single" w:color="auto" w:sz="4" w:space="0"/>
              <w:right w:val="single" w:color="auto" w:sz="4" w:space="0"/>
            </w:tcBorders>
            <w:vAlign w:val="center"/>
          </w:tcPr>
          <w:p w14:paraId="0601A56B">
            <w:pPr>
              <w:spacing w:line="360" w:lineRule="auto"/>
              <w:jc w:val="center"/>
              <w:rPr>
                <w:rFonts w:ascii="Calibri" w:hAnsi="Calibri"/>
                <w:szCs w:val="22"/>
              </w:rPr>
            </w:pPr>
            <w:r>
              <w:rPr>
                <w:rFonts w:hint="eastAsia" w:ascii="Calibri" w:hAnsi="Calibri"/>
                <w:szCs w:val="22"/>
              </w:rPr>
              <w:t>条目号</w:t>
            </w:r>
          </w:p>
        </w:tc>
        <w:tc>
          <w:tcPr>
            <w:tcW w:w="1851" w:type="dxa"/>
            <w:tcBorders>
              <w:top w:val="single" w:color="auto" w:sz="12" w:space="0"/>
              <w:left w:val="single" w:color="auto" w:sz="4" w:space="0"/>
              <w:bottom w:val="single" w:color="auto" w:sz="4" w:space="0"/>
              <w:right w:val="single" w:color="auto" w:sz="4" w:space="0"/>
            </w:tcBorders>
            <w:vAlign w:val="center"/>
          </w:tcPr>
          <w:p w14:paraId="2753C150">
            <w:pPr>
              <w:spacing w:line="360" w:lineRule="auto"/>
              <w:jc w:val="center"/>
              <w:rPr>
                <w:rFonts w:ascii="Calibri" w:hAnsi="Calibri"/>
                <w:szCs w:val="22"/>
              </w:rPr>
            </w:pPr>
            <w:r>
              <w:rPr>
                <w:rFonts w:hint="eastAsia" w:ascii="Calibri" w:hAnsi="Calibri"/>
                <w:szCs w:val="22"/>
              </w:rPr>
              <w:t>谈判文件要求</w:t>
            </w:r>
          </w:p>
        </w:tc>
        <w:tc>
          <w:tcPr>
            <w:tcW w:w="2203" w:type="dxa"/>
            <w:tcBorders>
              <w:top w:val="single" w:color="auto" w:sz="12" w:space="0"/>
              <w:left w:val="single" w:color="auto" w:sz="4" w:space="0"/>
              <w:bottom w:val="single" w:color="auto" w:sz="4" w:space="0"/>
              <w:right w:val="single" w:color="auto" w:sz="4" w:space="0"/>
            </w:tcBorders>
            <w:vAlign w:val="center"/>
          </w:tcPr>
          <w:p w14:paraId="10339FEA">
            <w:pPr>
              <w:spacing w:line="360" w:lineRule="auto"/>
              <w:jc w:val="center"/>
              <w:rPr>
                <w:rFonts w:ascii="Calibri" w:hAnsi="Calibri"/>
                <w:szCs w:val="22"/>
              </w:rPr>
            </w:pPr>
            <w:r>
              <w:rPr>
                <w:rFonts w:hint="eastAsia" w:ascii="Calibri" w:hAnsi="Calibri"/>
                <w:szCs w:val="22"/>
              </w:rPr>
              <w:t>响应产品技术参数</w:t>
            </w:r>
          </w:p>
        </w:tc>
        <w:tc>
          <w:tcPr>
            <w:tcW w:w="2203" w:type="dxa"/>
            <w:tcBorders>
              <w:top w:val="single" w:color="auto" w:sz="12" w:space="0"/>
              <w:left w:val="single" w:color="auto" w:sz="4" w:space="0"/>
              <w:bottom w:val="single" w:color="auto" w:sz="4" w:space="0"/>
              <w:right w:val="single" w:color="auto" w:sz="12" w:space="0"/>
            </w:tcBorders>
            <w:vAlign w:val="center"/>
          </w:tcPr>
          <w:p w14:paraId="078CF286">
            <w:pPr>
              <w:spacing w:line="360" w:lineRule="auto"/>
              <w:jc w:val="center"/>
              <w:rPr>
                <w:rFonts w:ascii="Calibri" w:hAnsi="Calibri"/>
                <w:szCs w:val="22"/>
              </w:rPr>
            </w:pPr>
            <w:r>
              <w:rPr>
                <w:rFonts w:hint="eastAsia" w:ascii="Calibri" w:hAnsi="Calibri"/>
                <w:szCs w:val="22"/>
              </w:rPr>
              <w:t>偏离情况</w:t>
            </w:r>
          </w:p>
        </w:tc>
      </w:tr>
      <w:tr w14:paraId="4449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14:paraId="40C0F098">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14:paraId="2E019936">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14:paraId="50DFE3C7">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14:paraId="1F70925A">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14:paraId="416DD0F5">
            <w:pPr>
              <w:spacing w:line="360" w:lineRule="auto"/>
              <w:rPr>
                <w:rFonts w:ascii="Calibri" w:hAnsi="Calibri"/>
                <w:szCs w:val="22"/>
              </w:rPr>
            </w:pPr>
          </w:p>
        </w:tc>
      </w:tr>
      <w:tr w14:paraId="522B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14:paraId="0FE810DB">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14:paraId="60B7AC5A">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14:paraId="2368F3EC">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14:paraId="2D08A1D6">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14:paraId="5E32EDE9">
            <w:pPr>
              <w:spacing w:line="360" w:lineRule="auto"/>
              <w:rPr>
                <w:rFonts w:ascii="Calibri" w:hAnsi="Calibri"/>
                <w:szCs w:val="22"/>
              </w:rPr>
            </w:pPr>
          </w:p>
        </w:tc>
      </w:tr>
      <w:tr w14:paraId="48C2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14:paraId="7943533A">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14:paraId="0D9E1326">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14:paraId="1502474E">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14:paraId="0B6E93B4">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14:paraId="2E4848C0">
            <w:pPr>
              <w:spacing w:line="360" w:lineRule="auto"/>
              <w:rPr>
                <w:rFonts w:ascii="Calibri" w:hAnsi="Calibri"/>
                <w:szCs w:val="22"/>
              </w:rPr>
            </w:pPr>
          </w:p>
        </w:tc>
      </w:tr>
      <w:tr w14:paraId="58BF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14:paraId="7E1B0482">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14:paraId="591DC24B">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14:paraId="17E7E0D3">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14:paraId="37F9D405">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14:paraId="41571B53">
            <w:pPr>
              <w:spacing w:line="360" w:lineRule="auto"/>
              <w:rPr>
                <w:rFonts w:ascii="Calibri" w:hAnsi="Calibri"/>
                <w:szCs w:val="22"/>
              </w:rPr>
            </w:pPr>
          </w:p>
        </w:tc>
      </w:tr>
      <w:tr w14:paraId="6507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14:paraId="0B816CCE">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14:paraId="04824169">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14:paraId="35D14C8A">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14:paraId="1AEC0B42">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14:paraId="7EFEC518">
            <w:pPr>
              <w:spacing w:line="360" w:lineRule="auto"/>
              <w:rPr>
                <w:rFonts w:ascii="Calibri" w:hAnsi="Calibri"/>
                <w:szCs w:val="22"/>
              </w:rPr>
            </w:pPr>
          </w:p>
        </w:tc>
      </w:tr>
      <w:tr w14:paraId="406C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4" w:space="0"/>
              <w:right w:val="single" w:color="auto" w:sz="4" w:space="0"/>
            </w:tcBorders>
            <w:vAlign w:val="center"/>
          </w:tcPr>
          <w:p w14:paraId="22C3122D">
            <w:pPr>
              <w:spacing w:line="360" w:lineRule="auto"/>
              <w:rPr>
                <w:rFonts w:ascii="Calibri" w:hAnsi="Calibri"/>
                <w:szCs w:val="22"/>
              </w:rPr>
            </w:pPr>
          </w:p>
        </w:tc>
        <w:tc>
          <w:tcPr>
            <w:tcW w:w="2050" w:type="dxa"/>
            <w:tcBorders>
              <w:top w:val="single" w:color="auto" w:sz="4" w:space="0"/>
              <w:left w:val="single" w:color="auto" w:sz="4" w:space="0"/>
              <w:bottom w:val="single" w:color="auto" w:sz="4" w:space="0"/>
              <w:right w:val="single" w:color="auto" w:sz="4" w:space="0"/>
            </w:tcBorders>
            <w:vAlign w:val="center"/>
          </w:tcPr>
          <w:p w14:paraId="422AB815">
            <w:pPr>
              <w:spacing w:line="360" w:lineRule="auto"/>
              <w:rPr>
                <w:rFonts w:ascii="Calibri" w:hAnsi="Calibri"/>
                <w:szCs w:val="22"/>
              </w:rPr>
            </w:pPr>
          </w:p>
        </w:tc>
        <w:tc>
          <w:tcPr>
            <w:tcW w:w="1851" w:type="dxa"/>
            <w:tcBorders>
              <w:top w:val="single" w:color="auto" w:sz="4" w:space="0"/>
              <w:left w:val="single" w:color="auto" w:sz="4" w:space="0"/>
              <w:bottom w:val="single" w:color="auto" w:sz="4" w:space="0"/>
              <w:right w:val="single" w:color="auto" w:sz="4" w:space="0"/>
            </w:tcBorders>
            <w:vAlign w:val="center"/>
          </w:tcPr>
          <w:p w14:paraId="10A8710F">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4" w:space="0"/>
            </w:tcBorders>
            <w:vAlign w:val="center"/>
          </w:tcPr>
          <w:p w14:paraId="3E1C8C4C">
            <w:pPr>
              <w:spacing w:line="360" w:lineRule="auto"/>
              <w:rPr>
                <w:rFonts w:ascii="Calibri" w:hAnsi="Calibri"/>
                <w:szCs w:val="22"/>
              </w:rPr>
            </w:pPr>
          </w:p>
        </w:tc>
        <w:tc>
          <w:tcPr>
            <w:tcW w:w="2203" w:type="dxa"/>
            <w:tcBorders>
              <w:top w:val="single" w:color="auto" w:sz="4" w:space="0"/>
              <w:left w:val="single" w:color="auto" w:sz="4" w:space="0"/>
              <w:bottom w:val="single" w:color="auto" w:sz="4" w:space="0"/>
              <w:right w:val="single" w:color="auto" w:sz="12" w:space="0"/>
            </w:tcBorders>
          </w:tcPr>
          <w:p w14:paraId="4E6C01E5">
            <w:pPr>
              <w:spacing w:line="360" w:lineRule="auto"/>
              <w:rPr>
                <w:rFonts w:ascii="Calibri" w:hAnsi="Calibri"/>
                <w:szCs w:val="22"/>
              </w:rPr>
            </w:pPr>
          </w:p>
        </w:tc>
      </w:tr>
      <w:tr w14:paraId="54F1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tcBorders>
              <w:top w:val="single" w:color="auto" w:sz="4" w:space="0"/>
              <w:left w:val="single" w:color="auto" w:sz="12" w:space="0"/>
              <w:bottom w:val="single" w:color="auto" w:sz="12" w:space="0"/>
              <w:right w:val="single" w:color="auto" w:sz="4" w:space="0"/>
            </w:tcBorders>
            <w:vAlign w:val="center"/>
          </w:tcPr>
          <w:p w14:paraId="50D4DBF6">
            <w:pPr>
              <w:spacing w:line="360" w:lineRule="auto"/>
              <w:rPr>
                <w:rFonts w:ascii="Calibri" w:hAnsi="Calibri"/>
                <w:szCs w:val="22"/>
              </w:rPr>
            </w:pPr>
          </w:p>
        </w:tc>
        <w:tc>
          <w:tcPr>
            <w:tcW w:w="2050" w:type="dxa"/>
            <w:tcBorders>
              <w:top w:val="single" w:color="auto" w:sz="4" w:space="0"/>
              <w:left w:val="single" w:color="auto" w:sz="4" w:space="0"/>
              <w:bottom w:val="single" w:color="auto" w:sz="12" w:space="0"/>
              <w:right w:val="single" w:color="auto" w:sz="4" w:space="0"/>
            </w:tcBorders>
            <w:vAlign w:val="center"/>
          </w:tcPr>
          <w:p w14:paraId="16EC3290">
            <w:pPr>
              <w:spacing w:line="360" w:lineRule="auto"/>
              <w:rPr>
                <w:rFonts w:ascii="Calibri" w:hAnsi="Calibri"/>
                <w:szCs w:val="22"/>
              </w:rPr>
            </w:pPr>
          </w:p>
        </w:tc>
        <w:tc>
          <w:tcPr>
            <w:tcW w:w="1851" w:type="dxa"/>
            <w:tcBorders>
              <w:top w:val="single" w:color="auto" w:sz="4" w:space="0"/>
              <w:left w:val="single" w:color="auto" w:sz="4" w:space="0"/>
              <w:bottom w:val="single" w:color="auto" w:sz="12" w:space="0"/>
              <w:right w:val="single" w:color="auto" w:sz="4" w:space="0"/>
            </w:tcBorders>
            <w:vAlign w:val="center"/>
          </w:tcPr>
          <w:p w14:paraId="6B57C962">
            <w:pPr>
              <w:spacing w:line="360" w:lineRule="auto"/>
              <w:rPr>
                <w:rFonts w:ascii="Calibri" w:hAnsi="Calibri"/>
                <w:szCs w:val="22"/>
              </w:rPr>
            </w:pPr>
          </w:p>
        </w:tc>
        <w:tc>
          <w:tcPr>
            <w:tcW w:w="2203" w:type="dxa"/>
            <w:tcBorders>
              <w:top w:val="single" w:color="auto" w:sz="4" w:space="0"/>
              <w:left w:val="single" w:color="auto" w:sz="4" w:space="0"/>
              <w:bottom w:val="single" w:color="auto" w:sz="12" w:space="0"/>
              <w:right w:val="single" w:color="auto" w:sz="4" w:space="0"/>
            </w:tcBorders>
            <w:vAlign w:val="center"/>
          </w:tcPr>
          <w:p w14:paraId="3D59C021">
            <w:pPr>
              <w:spacing w:line="360" w:lineRule="auto"/>
              <w:rPr>
                <w:rFonts w:ascii="Calibri" w:hAnsi="Calibri"/>
                <w:szCs w:val="22"/>
              </w:rPr>
            </w:pPr>
          </w:p>
        </w:tc>
        <w:tc>
          <w:tcPr>
            <w:tcW w:w="2203" w:type="dxa"/>
            <w:tcBorders>
              <w:top w:val="single" w:color="auto" w:sz="4" w:space="0"/>
              <w:left w:val="single" w:color="auto" w:sz="4" w:space="0"/>
              <w:bottom w:val="single" w:color="auto" w:sz="12" w:space="0"/>
              <w:right w:val="single" w:color="auto" w:sz="12" w:space="0"/>
            </w:tcBorders>
          </w:tcPr>
          <w:p w14:paraId="6B9F56A3">
            <w:pPr>
              <w:spacing w:line="360" w:lineRule="auto"/>
              <w:rPr>
                <w:rFonts w:ascii="Calibri" w:hAnsi="Calibri"/>
                <w:szCs w:val="22"/>
              </w:rPr>
            </w:pPr>
          </w:p>
        </w:tc>
      </w:tr>
    </w:tbl>
    <w:p w14:paraId="259A3CE7">
      <w:pPr>
        <w:spacing w:line="360" w:lineRule="auto"/>
        <w:rPr>
          <w:rFonts w:ascii="Calibri" w:hAnsi="Calibri"/>
          <w:szCs w:val="22"/>
        </w:rPr>
      </w:pPr>
    </w:p>
    <w:p w14:paraId="3552AC66">
      <w:pPr>
        <w:spacing w:line="360" w:lineRule="auto"/>
        <w:ind w:left="1" w:firstLine="361" w:firstLineChars="202"/>
        <w:rPr>
          <w:rFonts w:ascii="宋体" w:hAnsi="宋体"/>
          <w:b/>
          <w:bCs/>
          <w:spacing w:val="-1"/>
          <w:kern w:val="0"/>
          <w:sz w:val="18"/>
          <w:szCs w:val="18"/>
        </w:rPr>
      </w:pPr>
      <w:r>
        <w:rPr>
          <w:rFonts w:hint="eastAsia" w:ascii="宋体" w:hAnsi="宋体"/>
          <w:b/>
          <w:bCs/>
          <w:spacing w:val="-1"/>
          <w:kern w:val="0"/>
          <w:sz w:val="18"/>
          <w:szCs w:val="18"/>
        </w:rPr>
        <w:t>注：1. 供应商必须把谈判文件第五章技术要求全部列入此表；</w:t>
      </w:r>
    </w:p>
    <w:p w14:paraId="471C6C93">
      <w:pPr>
        <w:spacing w:line="360" w:lineRule="auto"/>
        <w:ind w:left="1" w:firstLine="717" w:firstLineChars="401"/>
        <w:rPr>
          <w:rFonts w:ascii="宋体" w:hAnsi="宋体"/>
          <w:b/>
          <w:bCs/>
          <w:spacing w:val="-1"/>
          <w:kern w:val="0"/>
          <w:sz w:val="18"/>
          <w:szCs w:val="18"/>
        </w:rPr>
      </w:pPr>
      <w:r>
        <w:rPr>
          <w:rFonts w:hint="eastAsia" w:ascii="宋体" w:hAnsi="宋体"/>
          <w:b/>
          <w:bCs/>
          <w:spacing w:val="-1"/>
          <w:kern w:val="0"/>
          <w:sz w:val="18"/>
          <w:szCs w:val="18"/>
        </w:rPr>
        <w:t>2．按照谈判项目技术要求的顺序逐条对应填写；</w:t>
      </w:r>
    </w:p>
    <w:p w14:paraId="4251B568">
      <w:pPr>
        <w:spacing w:line="360" w:lineRule="auto"/>
        <w:ind w:left="1" w:firstLine="717" w:firstLineChars="401"/>
        <w:rPr>
          <w:rFonts w:ascii="宋体" w:hAnsi="宋体"/>
          <w:b/>
          <w:bCs/>
          <w:spacing w:val="-1"/>
          <w:kern w:val="0"/>
          <w:sz w:val="18"/>
          <w:szCs w:val="18"/>
        </w:rPr>
      </w:pPr>
      <w:r>
        <w:rPr>
          <w:rFonts w:hint="eastAsia" w:ascii="宋体" w:hAnsi="宋体"/>
          <w:b/>
          <w:bCs/>
          <w:spacing w:val="-1"/>
          <w:kern w:val="0"/>
          <w:sz w:val="18"/>
          <w:szCs w:val="18"/>
        </w:rPr>
        <w:t>3．供应商必须据实填写，不得虚假填写，否则将取消其报价或中标资格并追究相关责任；</w:t>
      </w:r>
    </w:p>
    <w:p w14:paraId="11FEFA75">
      <w:pPr>
        <w:spacing w:line="360" w:lineRule="auto"/>
        <w:ind w:left="1" w:firstLine="361" w:firstLineChars="202"/>
        <w:rPr>
          <w:rFonts w:ascii="宋体" w:hAnsi="宋体"/>
          <w:b/>
          <w:bCs/>
          <w:spacing w:val="-1"/>
          <w:kern w:val="0"/>
          <w:sz w:val="18"/>
          <w:szCs w:val="18"/>
        </w:rPr>
      </w:pPr>
      <w:r>
        <w:rPr>
          <w:rFonts w:hint="eastAsia" w:ascii="宋体" w:hAnsi="宋体"/>
          <w:b/>
          <w:bCs/>
          <w:spacing w:val="-1"/>
          <w:kern w:val="0"/>
          <w:sz w:val="18"/>
          <w:szCs w:val="18"/>
        </w:rPr>
        <w:t xml:space="preserve">    4. 偏离情况根据实际报价产品情况填写“正偏离、负偏离或完全满足”。</w:t>
      </w:r>
    </w:p>
    <w:p w14:paraId="20DCBC89">
      <w:pPr>
        <w:spacing w:line="360" w:lineRule="auto"/>
        <w:jc w:val="left"/>
        <w:rPr>
          <w:rFonts w:ascii="Calibri" w:hAnsi="Calibri"/>
          <w:sz w:val="24"/>
          <w:szCs w:val="22"/>
        </w:rPr>
      </w:pPr>
    </w:p>
    <w:p w14:paraId="24840618">
      <w:pPr>
        <w:spacing w:line="360" w:lineRule="auto"/>
        <w:jc w:val="left"/>
        <w:rPr>
          <w:rFonts w:ascii="Calibri" w:hAnsi="Calibri"/>
          <w:sz w:val="24"/>
          <w:szCs w:val="22"/>
        </w:rPr>
      </w:pPr>
    </w:p>
    <w:p w14:paraId="68A0DACC">
      <w:pPr>
        <w:spacing w:line="360" w:lineRule="auto"/>
        <w:jc w:val="left"/>
        <w:rPr>
          <w:rFonts w:ascii="Calibri" w:hAnsi="Calibri"/>
          <w:sz w:val="24"/>
          <w:szCs w:val="22"/>
        </w:rPr>
      </w:pPr>
    </w:p>
    <w:p w14:paraId="693AA571">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14:paraId="72474ABF">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14:paraId="2057D3E9">
      <w:pPr>
        <w:spacing w:line="360" w:lineRule="auto"/>
        <w:jc w:val="left"/>
        <w:rPr>
          <w:rFonts w:ascii="宋体" w:hAnsi="宋体" w:cs="宋体"/>
          <w:b/>
          <w:bCs/>
          <w:kern w:val="0"/>
          <w:sz w:val="32"/>
          <w:szCs w:val="32"/>
        </w:rPr>
      </w:pPr>
      <w:r>
        <w:rPr>
          <w:rFonts w:hint="eastAsia" w:ascii="Calibri" w:hAnsi="Calibri"/>
          <w:kern w:val="0"/>
          <w:sz w:val="24"/>
          <w:szCs w:val="22"/>
          <w:lang w:eastAsia="en-US"/>
        </w:rPr>
        <w:t>日期：</w:t>
      </w:r>
    </w:p>
    <w:p w14:paraId="076F6B79">
      <w:pPr>
        <w:spacing w:line="360" w:lineRule="auto"/>
        <w:jc w:val="left"/>
        <w:rPr>
          <w:rFonts w:ascii="宋体" w:hAnsi="宋体" w:cs="宋体"/>
          <w:b/>
          <w:bCs/>
          <w:kern w:val="0"/>
          <w:sz w:val="32"/>
          <w:szCs w:val="32"/>
        </w:rPr>
        <w:sectPr>
          <w:headerReference r:id="rId14" w:type="default"/>
          <w:footerReference r:id="rId15" w:type="default"/>
          <w:pgSz w:w="11911" w:h="16838"/>
          <w:pgMar w:top="1440" w:right="1797" w:bottom="1440" w:left="1797" w:header="850" w:footer="737" w:gutter="0"/>
          <w:cols w:space="720" w:num="1"/>
          <w:docGrid w:linePitch="299" w:charSpace="0"/>
        </w:sectPr>
      </w:pPr>
      <w:r>
        <w:rPr>
          <w:rFonts w:hint="eastAsia" w:ascii="宋体" w:hAnsi="宋体" w:cs="宋体"/>
          <w:b/>
          <w:highlight w:val="none"/>
        </w:rPr>
        <w:br w:type="page"/>
      </w:r>
    </w:p>
    <w:p w14:paraId="63552713">
      <w:pPr>
        <w:spacing w:line="360" w:lineRule="auto"/>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格式2-</w:t>
      </w:r>
      <w:r>
        <w:rPr>
          <w:rFonts w:hint="eastAsia" w:ascii="宋体" w:hAnsi="宋体" w:cs="宋体"/>
          <w:b/>
          <w:bCs/>
          <w:kern w:val="0"/>
          <w:sz w:val="32"/>
          <w:szCs w:val="32"/>
          <w:lang w:val="en-US" w:eastAsia="zh-CN"/>
        </w:rPr>
        <w:t>4</w:t>
      </w:r>
    </w:p>
    <w:p w14:paraId="68E533F5">
      <w:pPr>
        <w:widowControl/>
        <w:numPr>
          <w:ilvl w:val="0"/>
          <w:numId w:val="0"/>
        </w:numPr>
        <w:spacing w:line="360" w:lineRule="auto"/>
        <w:ind w:leftChars="0"/>
        <w:jc w:val="center"/>
        <w:outlineLvl w:val="1"/>
        <w:rPr>
          <w:rFonts w:ascii="宋体" w:hAnsi="宋体"/>
          <w:b/>
          <w:kern w:val="0"/>
          <w:sz w:val="32"/>
          <w:szCs w:val="32"/>
        </w:rPr>
      </w:pPr>
      <w:bookmarkStart w:id="183" w:name="_Toc504987217"/>
      <w:bookmarkStart w:id="184" w:name="_Toc3529"/>
      <w:bookmarkStart w:id="185" w:name="_Toc19200"/>
      <w:bookmarkStart w:id="186" w:name="_Toc504991361"/>
      <w:bookmarkStart w:id="187" w:name="_Toc502912108"/>
      <w:bookmarkStart w:id="188" w:name="_Toc504988316"/>
      <w:bookmarkStart w:id="189" w:name="_Toc26284"/>
      <w:r>
        <w:rPr>
          <w:rFonts w:hint="eastAsia" w:ascii="宋体" w:hAnsi="宋体"/>
          <w:b/>
          <w:kern w:val="0"/>
          <w:sz w:val="32"/>
          <w:szCs w:val="32"/>
          <w:lang w:eastAsia="zh-CN"/>
        </w:rPr>
        <w:t>四、</w:t>
      </w:r>
      <w:r>
        <w:rPr>
          <w:rFonts w:hint="eastAsia" w:ascii="宋体" w:hAnsi="宋体"/>
          <w:b/>
          <w:kern w:val="0"/>
          <w:sz w:val="32"/>
          <w:szCs w:val="32"/>
        </w:rPr>
        <w:t>服务、商务应答表</w:t>
      </w:r>
      <w:bookmarkEnd w:id="183"/>
      <w:bookmarkEnd w:id="184"/>
      <w:bookmarkEnd w:id="185"/>
      <w:bookmarkEnd w:id="186"/>
      <w:bookmarkEnd w:id="187"/>
      <w:bookmarkEnd w:id="188"/>
      <w:bookmarkEnd w:id="189"/>
    </w:p>
    <w:p w14:paraId="395EA475">
      <w:pPr>
        <w:spacing w:line="360" w:lineRule="auto"/>
        <w:rPr>
          <w:rFonts w:ascii="宋体" w:hAnsi="宋体" w:cs="宋体"/>
          <w:b/>
          <w:color w:val="000000"/>
          <w:sz w:val="24"/>
          <w:u w:val="single"/>
        </w:rPr>
      </w:pPr>
      <w:r>
        <w:rPr>
          <w:rFonts w:hint="eastAsia" w:ascii="宋体" w:hAnsi="宋体" w:cs="宋体"/>
          <w:b/>
          <w:color w:val="000000"/>
          <w:sz w:val="24"/>
        </w:rPr>
        <w:t>项目名称：</w:t>
      </w:r>
    </w:p>
    <w:p w14:paraId="0FEC4F10">
      <w:pPr>
        <w:spacing w:line="360" w:lineRule="auto"/>
        <w:rPr>
          <w:rFonts w:ascii="宋体" w:hAnsi="宋体" w:cs="宋体"/>
          <w:b/>
          <w:color w:val="000000"/>
          <w:sz w:val="24"/>
        </w:rPr>
      </w:pPr>
      <w:r>
        <w:rPr>
          <w:rFonts w:hint="eastAsia" w:ascii="宋体" w:hAnsi="宋体" w:cs="宋体"/>
          <w:b/>
          <w:color w:val="000000"/>
          <w:sz w:val="24"/>
        </w:rPr>
        <w:t>采购项目编号：</w:t>
      </w:r>
    </w:p>
    <w:tbl>
      <w:tblPr>
        <w:tblStyle w:val="44"/>
        <w:tblpPr w:leftFromText="180" w:rightFromText="180" w:vertAnchor="text" w:horzAnchor="page" w:tblpX="1344" w:tblpY="159"/>
        <w:tblOverlap w:val="never"/>
        <w:tblW w:w="9250" w:type="dxa"/>
        <w:tblInd w:w="0" w:type="dxa"/>
        <w:tblLayout w:type="fixed"/>
        <w:tblCellMar>
          <w:top w:w="0" w:type="dxa"/>
          <w:left w:w="0" w:type="dxa"/>
          <w:bottom w:w="0" w:type="dxa"/>
          <w:right w:w="0" w:type="dxa"/>
        </w:tblCellMar>
      </w:tblPr>
      <w:tblGrid>
        <w:gridCol w:w="828"/>
        <w:gridCol w:w="1957"/>
        <w:gridCol w:w="2415"/>
        <w:gridCol w:w="2360"/>
        <w:gridCol w:w="1690"/>
      </w:tblGrid>
      <w:tr w14:paraId="7487E718">
        <w:tblPrEx>
          <w:tblCellMar>
            <w:top w:w="0" w:type="dxa"/>
            <w:left w:w="0" w:type="dxa"/>
            <w:bottom w:w="0" w:type="dxa"/>
            <w:right w:w="0" w:type="dxa"/>
          </w:tblCellMar>
        </w:tblPrEx>
        <w:trPr>
          <w:trHeight w:val="842" w:hRule="exact"/>
        </w:trPr>
        <w:tc>
          <w:tcPr>
            <w:tcW w:w="828" w:type="dxa"/>
            <w:tcBorders>
              <w:top w:val="single" w:color="000000" w:sz="12" w:space="0"/>
              <w:left w:val="single" w:color="000000" w:sz="12" w:space="0"/>
              <w:bottom w:val="single" w:color="000000" w:sz="6" w:space="0"/>
              <w:right w:val="single" w:color="000000" w:sz="6" w:space="0"/>
            </w:tcBorders>
            <w:vAlign w:val="center"/>
          </w:tcPr>
          <w:p w14:paraId="71EA6F0B">
            <w:pPr>
              <w:spacing w:line="360" w:lineRule="auto"/>
              <w:jc w:val="center"/>
              <w:rPr>
                <w:rFonts w:ascii="宋体" w:hAnsi="宋体" w:cs="宋体"/>
                <w:kern w:val="0"/>
                <w:sz w:val="20"/>
                <w:szCs w:val="21"/>
              </w:rPr>
            </w:pPr>
            <w:r>
              <w:rPr>
                <w:rFonts w:ascii="宋体" w:hAnsi="宋体" w:cs="宋体"/>
                <w:b/>
                <w:bCs/>
                <w:kern w:val="0"/>
                <w:sz w:val="20"/>
                <w:szCs w:val="21"/>
              </w:rPr>
              <w:t>序号</w:t>
            </w:r>
          </w:p>
        </w:tc>
        <w:tc>
          <w:tcPr>
            <w:tcW w:w="1957" w:type="dxa"/>
            <w:tcBorders>
              <w:top w:val="single" w:color="000000" w:sz="12" w:space="0"/>
              <w:left w:val="single" w:color="000000" w:sz="6" w:space="0"/>
              <w:bottom w:val="single" w:color="000000" w:sz="6" w:space="0"/>
              <w:right w:val="single" w:color="000000" w:sz="6" w:space="0"/>
            </w:tcBorders>
            <w:vAlign w:val="center"/>
          </w:tcPr>
          <w:p w14:paraId="4E5BC72B">
            <w:pPr>
              <w:spacing w:line="360" w:lineRule="auto"/>
              <w:jc w:val="center"/>
              <w:rPr>
                <w:rFonts w:ascii="宋体" w:hAnsi="宋体" w:cs="宋体"/>
                <w:kern w:val="0"/>
                <w:sz w:val="20"/>
                <w:szCs w:val="21"/>
              </w:rPr>
            </w:pPr>
            <w:r>
              <w:rPr>
                <w:rFonts w:ascii="宋体" w:hAnsi="宋体" w:cs="宋体"/>
                <w:b/>
                <w:bCs/>
                <w:kern w:val="0"/>
                <w:sz w:val="20"/>
                <w:szCs w:val="21"/>
              </w:rPr>
              <w:t>谈判文件条目号</w:t>
            </w:r>
          </w:p>
        </w:tc>
        <w:tc>
          <w:tcPr>
            <w:tcW w:w="2415" w:type="dxa"/>
            <w:tcBorders>
              <w:top w:val="single" w:color="000000" w:sz="12" w:space="0"/>
              <w:left w:val="single" w:color="000000" w:sz="6" w:space="0"/>
              <w:bottom w:val="single" w:color="000000" w:sz="6" w:space="0"/>
              <w:right w:val="single" w:color="000000" w:sz="6" w:space="0"/>
            </w:tcBorders>
            <w:vAlign w:val="center"/>
          </w:tcPr>
          <w:p w14:paraId="6E19051E">
            <w:pPr>
              <w:spacing w:line="360" w:lineRule="auto"/>
              <w:jc w:val="center"/>
              <w:rPr>
                <w:rFonts w:ascii="宋体" w:hAnsi="宋体" w:cs="宋体"/>
                <w:kern w:val="0"/>
                <w:sz w:val="20"/>
                <w:szCs w:val="21"/>
              </w:rPr>
            </w:pPr>
            <w:r>
              <w:rPr>
                <w:rFonts w:ascii="宋体" w:hAnsi="宋体" w:cs="宋体"/>
                <w:b/>
                <w:bCs/>
                <w:kern w:val="0"/>
                <w:sz w:val="20"/>
                <w:szCs w:val="21"/>
              </w:rPr>
              <w:t>谈判文件条款</w:t>
            </w:r>
          </w:p>
        </w:tc>
        <w:tc>
          <w:tcPr>
            <w:tcW w:w="2360" w:type="dxa"/>
            <w:tcBorders>
              <w:top w:val="single" w:color="000000" w:sz="12" w:space="0"/>
              <w:left w:val="single" w:color="000000" w:sz="6" w:space="0"/>
              <w:bottom w:val="single" w:color="000000" w:sz="6" w:space="0"/>
              <w:right w:val="single" w:color="000000" w:sz="6" w:space="0"/>
            </w:tcBorders>
            <w:vAlign w:val="center"/>
          </w:tcPr>
          <w:p w14:paraId="26CBA7EF">
            <w:pPr>
              <w:spacing w:line="360" w:lineRule="auto"/>
              <w:jc w:val="center"/>
              <w:rPr>
                <w:rFonts w:ascii="宋体" w:hAnsi="宋体" w:cs="宋体"/>
                <w:kern w:val="0"/>
                <w:sz w:val="20"/>
                <w:szCs w:val="21"/>
              </w:rPr>
            </w:pPr>
            <w:r>
              <w:rPr>
                <w:rFonts w:ascii="宋体" w:hAnsi="宋体" w:cs="宋体"/>
                <w:b/>
                <w:bCs/>
                <w:kern w:val="0"/>
                <w:sz w:val="20"/>
                <w:szCs w:val="21"/>
              </w:rPr>
              <w:t>谈判响应文件条款</w:t>
            </w:r>
          </w:p>
        </w:tc>
        <w:tc>
          <w:tcPr>
            <w:tcW w:w="1690" w:type="dxa"/>
            <w:tcBorders>
              <w:top w:val="single" w:color="000000" w:sz="12" w:space="0"/>
              <w:left w:val="single" w:color="000000" w:sz="6" w:space="0"/>
              <w:bottom w:val="single" w:color="000000" w:sz="6" w:space="0"/>
              <w:right w:val="single" w:color="000000" w:sz="12" w:space="0"/>
            </w:tcBorders>
            <w:vAlign w:val="center"/>
          </w:tcPr>
          <w:p w14:paraId="3FF99E5D">
            <w:pPr>
              <w:spacing w:line="360" w:lineRule="auto"/>
              <w:jc w:val="center"/>
              <w:rPr>
                <w:rFonts w:ascii="宋体" w:hAnsi="宋体" w:cs="宋体"/>
                <w:kern w:val="0"/>
                <w:sz w:val="20"/>
                <w:szCs w:val="21"/>
              </w:rPr>
            </w:pPr>
            <w:r>
              <w:rPr>
                <w:rFonts w:ascii="宋体" w:hAnsi="宋体" w:cs="宋体"/>
                <w:b/>
                <w:bCs/>
                <w:w w:val="105"/>
                <w:kern w:val="0"/>
                <w:sz w:val="20"/>
                <w:szCs w:val="21"/>
              </w:rPr>
              <w:t>响应/偏离</w:t>
            </w:r>
          </w:p>
        </w:tc>
      </w:tr>
      <w:tr w14:paraId="563CDA48">
        <w:tblPrEx>
          <w:tblCellMar>
            <w:top w:w="0" w:type="dxa"/>
            <w:left w:w="0" w:type="dxa"/>
            <w:bottom w:w="0" w:type="dxa"/>
            <w:right w:w="0" w:type="dxa"/>
          </w:tblCellMar>
        </w:tblPrEx>
        <w:trPr>
          <w:trHeight w:val="757" w:hRule="exact"/>
        </w:trPr>
        <w:tc>
          <w:tcPr>
            <w:tcW w:w="828" w:type="dxa"/>
            <w:tcBorders>
              <w:top w:val="single" w:color="000000" w:sz="6" w:space="0"/>
              <w:left w:val="single" w:color="000000" w:sz="12" w:space="0"/>
              <w:bottom w:val="single" w:color="000000" w:sz="6" w:space="0"/>
              <w:right w:val="single" w:color="000000" w:sz="6" w:space="0"/>
            </w:tcBorders>
          </w:tcPr>
          <w:p w14:paraId="056C9E43">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367ECD21">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325BD606">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710ACE6D">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326FC737">
            <w:pPr>
              <w:spacing w:line="360" w:lineRule="auto"/>
              <w:jc w:val="left"/>
              <w:rPr>
                <w:rFonts w:ascii="宋体" w:hAnsi="宋体"/>
                <w:kern w:val="0"/>
                <w:sz w:val="22"/>
                <w:szCs w:val="20"/>
              </w:rPr>
            </w:pPr>
          </w:p>
        </w:tc>
      </w:tr>
      <w:tr w14:paraId="573CA1E0">
        <w:tblPrEx>
          <w:tblCellMar>
            <w:top w:w="0" w:type="dxa"/>
            <w:left w:w="0" w:type="dxa"/>
            <w:bottom w:w="0" w:type="dxa"/>
            <w:right w:w="0" w:type="dxa"/>
          </w:tblCellMar>
        </w:tblPrEx>
        <w:trPr>
          <w:trHeight w:val="754" w:hRule="exact"/>
        </w:trPr>
        <w:tc>
          <w:tcPr>
            <w:tcW w:w="828" w:type="dxa"/>
            <w:tcBorders>
              <w:top w:val="single" w:color="000000" w:sz="6" w:space="0"/>
              <w:left w:val="single" w:color="000000" w:sz="12" w:space="0"/>
              <w:bottom w:val="single" w:color="000000" w:sz="6" w:space="0"/>
              <w:right w:val="single" w:color="000000" w:sz="6" w:space="0"/>
            </w:tcBorders>
          </w:tcPr>
          <w:p w14:paraId="39120015">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61D051BA">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4DB8CB69">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709CA753">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7E9072EB">
            <w:pPr>
              <w:spacing w:line="360" w:lineRule="auto"/>
              <w:jc w:val="left"/>
              <w:rPr>
                <w:rFonts w:ascii="宋体" w:hAnsi="宋体"/>
                <w:kern w:val="0"/>
                <w:sz w:val="22"/>
                <w:szCs w:val="20"/>
              </w:rPr>
            </w:pPr>
          </w:p>
        </w:tc>
      </w:tr>
      <w:tr w14:paraId="75AA1BEF">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14:paraId="24DD6E26">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5DD8E44D">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0F389702">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283B9C4F">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5E36942E">
            <w:pPr>
              <w:spacing w:line="360" w:lineRule="auto"/>
              <w:jc w:val="left"/>
              <w:rPr>
                <w:rFonts w:ascii="宋体" w:hAnsi="宋体"/>
                <w:kern w:val="0"/>
                <w:sz w:val="22"/>
                <w:szCs w:val="20"/>
              </w:rPr>
            </w:pPr>
          </w:p>
        </w:tc>
      </w:tr>
      <w:tr w14:paraId="395FAA70">
        <w:tblPrEx>
          <w:tblCellMar>
            <w:top w:w="0" w:type="dxa"/>
            <w:left w:w="0" w:type="dxa"/>
            <w:bottom w:w="0" w:type="dxa"/>
            <w:right w:w="0" w:type="dxa"/>
          </w:tblCellMar>
        </w:tblPrEx>
        <w:trPr>
          <w:trHeight w:val="754" w:hRule="exact"/>
        </w:trPr>
        <w:tc>
          <w:tcPr>
            <w:tcW w:w="828" w:type="dxa"/>
            <w:tcBorders>
              <w:top w:val="single" w:color="000000" w:sz="6" w:space="0"/>
              <w:left w:val="single" w:color="000000" w:sz="12" w:space="0"/>
              <w:bottom w:val="single" w:color="000000" w:sz="6" w:space="0"/>
              <w:right w:val="single" w:color="000000" w:sz="6" w:space="0"/>
            </w:tcBorders>
          </w:tcPr>
          <w:p w14:paraId="31AEA80D">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7AF0E4D3">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05593FFA">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3F134937">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6749D57B">
            <w:pPr>
              <w:spacing w:line="360" w:lineRule="auto"/>
              <w:jc w:val="left"/>
              <w:rPr>
                <w:rFonts w:ascii="宋体" w:hAnsi="宋体"/>
                <w:kern w:val="0"/>
                <w:sz w:val="22"/>
                <w:szCs w:val="20"/>
              </w:rPr>
            </w:pPr>
          </w:p>
        </w:tc>
      </w:tr>
      <w:tr w14:paraId="679E5C64">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14:paraId="41061865">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10888BB1">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1DBCFF80">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63541F8E">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6491BB6B">
            <w:pPr>
              <w:spacing w:line="360" w:lineRule="auto"/>
              <w:jc w:val="left"/>
              <w:rPr>
                <w:rFonts w:ascii="宋体" w:hAnsi="宋体"/>
                <w:kern w:val="0"/>
                <w:sz w:val="22"/>
                <w:szCs w:val="20"/>
              </w:rPr>
            </w:pPr>
          </w:p>
        </w:tc>
      </w:tr>
      <w:tr w14:paraId="5283FBC1">
        <w:tblPrEx>
          <w:tblCellMar>
            <w:top w:w="0" w:type="dxa"/>
            <w:left w:w="0" w:type="dxa"/>
            <w:bottom w:w="0" w:type="dxa"/>
            <w:right w:w="0" w:type="dxa"/>
          </w:tblCellMar>
        </w:tblPrEx>
        <w:trPr>
          <w:trHeight w:val="754" w:hRule="exact"/>
        </w:trPr>
        <w:tc>
          <w:tcPr>
            <w:tcW w:w="828" w:type="dxa"/>
            <w:tcBorders>
              <w:top w:val="single" w:color="000000" w:sz="6" w:space="0"/>
              <w:left w:val="single" w:color="000000" w:sz="12" w:space="0"/>
              <w:bottom w:val="single" w:color="000000" w:sz="6" w:space="0"/>
              <w:right w:val="single" w:color="000000" w:sz="6" w:space="0"/>
            </w:tcBorders>
          </w:tcPr>
          <w:p w14:paraId="040AF5BC">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4AD5AA3A">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78B022B6">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25ACA4E9">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52E77F9B">
            <w:pPr>
              <w:spacing w:line="360" w:lineRule="auto"/>
              <w:jc w:val="left"/>
              <w:rPr>
                <w:rFonts w:ascii="宋体" w:hAnsi="宋体"/>
                <w:kern w:val="0"/>
                <w:sz w:val="22"/>
                <w:szCs w:val="20"/>
              </w:rPr>
            </w:pPr>
          </w:p>
        </w:tc>
      </w:tr>
      <w:tr w14:paraId="67A821A9">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14:paraId="06EC9FB7">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7B1F612A">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1A5C9D0F">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2EE29234">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56EDFF09">
            <w:pPr>
              <w:spacing w:line="360" w:lineRule="auto"/>
              <w:jc w:val="left"/>
              <w:rPr>
                <w:rFonts w:ascii="宋体" w:hAnsi="宋体"/>
                <w:kern w:val="0"/>
                <w:sz w:val="22"/>
                <w:szCs w:val="20"/>
              </w:rPr>
            </w:pPr>
          </w:p>
        </w:tc>
      </w:tr>
      <w:tr w14:paraId="697FA379">
        <w:tblPrEx>
          <w:tblCellMar>
            <w:top w:w="0" w:type="dxa"/>
            <w:left w:w="0" w:type="dxa"/>
            <w:bottom w:w="0" w:type="dxa"/>
            <w:right w:w="0" w:type="dxa"/>
          </w:tblCellMar>
        </w:tblPrEx>
        <w:trPr>
          <w:trHeight w:val="756" w:hRule="exact"/>
        </w:trPr>
        <w:tc>
          <w:tcPr>
            <w:tcW w:w="828" w:type="dxa"/>
            <w:tcBorders>
              <w:top w:val="single" w:color="000000" w:sz="6" w:space="0"/>
              <w:left w:val="single" w:color="000000" w:sz="12" w:space="0"/>
              <w:bottom w:val="single" w:color="000000" w:sz="6" w:space="0"/>
              <w:right w:val="single" w:color="000000" w:sz="6" w:space="0"/>
            </w:tcBorders>
          </w:tcPr>
          <w:p w14:paraId="2B73385F">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6" w:space="0"/>
              <w:right w:val="single" w:color="000000" w:sz="6" w:space="0"/>
            </w:tcBorders>
          </w:tcPr>
          <w:p w14:paraId="3A397C92">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6" w:space="0"/>
              <w:right w:val="single" w:color="000000" w:sz="6" w:space="0"/>
            </w:tcBorders>
          </w:tcPr>
          <w:p w14:paraId="144F850F">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6" w:space="0"/>
              <w:right w:val="single" w:color="000000" w:sz="6" w:space="0"/>
            </w:tcBorders>
          </w:tcPr>
          <w:p w14:paraId="4D32CBC1">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6" w:space="0"/>
              <w:right w:val="single" w:color="000000" w:sz="12" w:space="0"/>
            </w:tcBorders>
          </w:tcPr>
          <w:p w14:paraId="7D9F901C">
            <w:pPr>
              <w:spacing w:line="360" w:lineRule="auto"/>
              <w:jc w:val="left"/>
              <w:rPr>
                <w:rFonts w:ascii="宋体" w:hAnsi="宋体"/>
                <w:kern w:val="0"/>
                <w:sz w:val="22"/>
                <w:szCs w:val="20"/>
              </w:rPr>
            </w:pPr>
          </w:p>
        </w:tc>
      </w:tr>
      <w:tr w14:paraId="2FB8FFF4">
        <w:tblPrEx>
          <w:tblCellMar>
            <w:top w:w="0" w:type="dxa"/>
            <w:left w:w="0" w:type="dxa"/>
            <w:bottom w:w="0" w:type="dxa"/>
            <w:right w:w="0" w:type="dxa"/>
          </w:tblCellMar>
        </w:tblPrEx>
        <w:trPr>
          <w:trHeight w:val="764" w:hRule="exact"/>
        </w:trPr>
        <w:tc>
          <w:tcPr>
            <w:tcW w:w="828" w:type="dxa"/>
            <w:tcBorders>
              <w:top w:val="single" w:color="000000" w:sz="6" w:space="0"/>
              <w:left w:val="single" w:color="000000" w:sz="12" w:space="0"/>
              <w:bottom w:val="single" w:color="000000" w:sz="12" w:space="0"/>
              <w:right w:val="single" w:color="000000" w:sz="6" w:space="0"/>
            </w:tcBorders>
          </w:tcPr>
          <w:p w14:paraId="1D1FC49D">
            <w:pPr>
              <w:spacing w:line="360" w:lineRule="auto"/>
              <w:jc w:val="left"/>
              <w:rPr>
                <w:rFonts w:ascii="宋体" w:hAnsi="宋体"/>
                <w:kern w:val="0"/>
                <w:sz w:val="22"/>
                <w:szCs w:val="20"/>
              </w:rPr>
            </w:pPr>
          </w:p>
        </w:tc>
        <w:tc>
          <w:tcPr>
            <w:tcW w:w="1957" w:type="dxa"/>
            <w:tcBorders>
              <w:top w:val="single" w:color="000000" w:sz="6" w:space="0"/>
              <w:left w:val="single" w:color="000000" w:sz="6" w:space="0"/>
              <w:bottom w:val="single" w:color="000000" w:sz="12" w:space="0"/>
              <w:right w:val="single" w:color="000000" w:sz="6" w:space="0"/>
            </w:tcBorders>
          </w:tcPr>
          <w:p w14:paraId="5B5BC5C3">
            <w:pPr>
              <w:spacing w:line="360" w:lineRule="auto"/>
              <w:jc w:val="left"/>
              <w:rPr>
                <w:rFonts w:ascii="宋体" w:hAnsi="宋体"/>
                <w:kern w:val="0"/>
                <w:sz w:val="22"/>
                <w:szCs w:val="20"/>
              </w:rPr>
            </w:pPr>
          </w:p>
        </w:tc>
        <w:tc>
          <w:tcPr>
            <w:tcW w:w="2415" w:type="dxa"/>
            <w:tcBorders>
              <w:top w:val="single" w:color="000000" w:sz="6" w:space="0"/>
              <w:left w:val="single" w:color="000000" w:sz="6" w:space="0"/>
              <w:bottom w:val="single" w:color="000000" w:sz="12" w:space="0"/>
              <w:right w:val="single" w:color="000000" w:sz="6" w:space="0"/>
            </w:tcBorders>
          </w:tcPr>
          <w:p w14:paraId="1A069637">
            <w:pPr>
              <w:spacing w:line="360" w:lineRule="auto"/>
              <w:jc w:val="left"/>
              <w:rPr>
                <w:rFonts w:ascii="宋体" w:hAnsi="宋体"/>
                <w:kern w:val="0"/>
                <w:sz w:val="22"/>
                <w:szCs w:val="20"/>
              </w:rPr>
            </w:pPr>
          </w:p>
        </w:tc>
        <w:tc>
          <w:tcPr>
            <w:tcW w:w="2360" w:type="dxa"/>
            <w:tcBorders>
              <w:top w:val="single" w:color="000000" w:sz="6" w:space="0"/>
              <w:left w:val="single" w:color="000000" w:sz="6" w:space="0"/>
              <w:bottom w:val="single" w:color="000000" w:sz="12" w:space="0"/>
              <w:right w:val="single" w:color="000000" w:sz="6" w:space="0"/>
            </w:tcBorders>
          </w:tcPr>
          <w:p w14:paraId="1761EAF1">
            <w:pPr>
              <w:spacing w:line="360" w:lineRule="auto"/>
              <w:jc w:val="left"/>
              <w:rPr>
                <w:rFonts w:ascii="宋体" w:hAnsi="宋体"/>
                <w:kern w:val="0"/>
                <w:sz w:val="22"/>
                <w:szCs w:val="20"/>
              </w:rPr>
            </w:pPr>
          </w:p>
        </w:tc>
        <w:tc>
          <w:tcPr>
            <w:tcW w:w="1690" w:type="dxa"/>
            <w:tcBorders>
              <w:top w:val="single" w:color="000000" w:sz="6" w:space="0"/>
              <w:left w:val="single" w:color="000000" w:sz="6" w:space="0"/>
              <w:bottom w:val="single" w:color="000000" w:sz="12" w:space="0"/>
              <w:right w:val="single" w:color="000000" w:sz="12" w:space="0"/>
            </w:tcBorders>
          </w:tcPr>
          <w:p w14:paraId="1BB8F248">
            <w:pPr>
              <w:spacing w:line="360" w:lineRule="auto"/>
              <w:jc w:val="left"/>
              <w:rPr>
                <w:rFonts w:ascii="宋体" w:hAnsi="宋体"/>
                <w:kern w:val="0"/>
                <w:sz w:val="22"/>
                <w:szCs w:val="20"/>
              </w:rPr>
            </w:pPr>
          </w:p>
        </w:tc>
      </w:tr>
    </w:tbl>
    <w:p w14:paraId="0492D874">
      <w:pPr>
        <w:spacing w:line="360" w:lineRule="auto"/>
        <w:ind w:left="1" w:firstLine="361" w:firstLineChars="202"/>
        <w:rPr>
          <w:rFonts w:ascii="宋体" w:hAnsi="宋体"/>
          <w:b/>
          <w:bCs/>
          <w:spacing w:val="-1"/>
          <w:kern w:val="0"/>
          <w:sz w:val="18"/>
          <w:szCs w:val="18"/>
        </w:rPr>
      </w:pPr>
    </w:p>
    <w:p w14:paraId="3232FF69">
      <w:pPr>
        <w:spacing w:line="360" w:lineRule="auto"/>
        <w:ind w:left="1" w:firstLine="361" w:firstLineChars="202"/>
        <w:rPr>
          <w:rFonts w:ascii="宋体" w:hAnsi="宋体"/>
          <w:b/>
          <w:bCs/>
          <w:kern w:val="0"/>
          <w:sz w:val="18"/>
          <w:szCs w:val="18"/>
        </w:rPr>
      </w:pPr>
      <w:r>
        <w:rPr>
          <w:rFonts w:ascii="宋体" w:hAnsi="宋体"/>
          <w:b/>
          <w:bCs/>
          <w:spacing w:val="-1"/>
          <w:kern w:val="0"/>
          <w:sz w:val="18"/>
          <w:szCs w:val="18"/>
        </w:rPr>
        <w:t>注： 1.本表只填写响应文件中与谈判文件有偏离（包括正偏离和负偏离）的内容，</w:t>
      </w:r>
      <w:r>
        <w:rPr>
          <w:rFonts w:hint="eastAsia" w:ascii="宋体" w:hAnsi="宋体"/>
          <w:b/>
          <w:bCs/>
          <w:spacing w:val="-1"/>
          <w:kern w:val="0"/>
          <w:sz w:val="18"/>
          <w:szCs w:val="18"/>
        </w:rPr>
        <w:t>除本偏离表所列的偏离指标外，其他所有服务、商务条款均完全响应“谈判文件”中的要求。</w:t>
      </w:r>
    </w:p>
    <w:p w14:paraId="472BC848">
      <w:pPr>
        <w:spacing w:line="360" w:lineRule="auto"/>
        <w:ind w:firstLine="361" w:firstLineChars="200"/>
        <w:jc w:val="left"/>
        <w:rPr>
          <w:rFonts w:ascii="宋体" w:hAnsi="宋体"/>
          <w:b/>
          <w:bCs/>
          <w:kern w:val="0"/>
          <w:sz w:val="18"/>
          <w:szCs w:val="18"/>
        </w:rPr>
      </w:pPr>
      <w:r>
        <w:rPr>
          <w:rFonts w:ascii="宋体" w:hAnsi="宋体" w:cs="宋体"/>
          <w:b/>
          <w:bCs/>
          <w:kern w:val="0"/>
          <w:sz w:val="18"/>
          <w:szCs w:val="18"/>
        </w:rPr>
        <w:t>2</w:t>
      </w:r>
      <w:r>
        <w:rPr>
          <w:rFonts w:hint="eastAsia" w:ascii="宋体" w:hAnsi="宋体" w:cs="宋体"/>
          <w:b/>
          <w:bCs/>
          <w:kern w:val="0"/>
          <w:sz w:val="18"/>
          <w:szCs w:val="18"/>
        </w:rPr>
        <w:t>.</w:t>
      </w:r>
      <w:r>
        <w:rPr>
          <w:rFonts w:ascii="宋体" w:hAnsi="宋体"/>
          <w:b/>
          <w:bCs/>
          <w:kern w:val="0"/>
          <w:sz w:val="18"/>
          <w:szCs w:val="18"/>
        </w:rPr>
        <w:t>供应商必须据实填写，不得虚假响应，否则将取消其响应或成交资格，并按有关规定进行处罚。</w:t>
      </w:r>
    </w:p>
    <w:p w14:paraId="3207235D">
      <w:pPr>
        <w:spacing w:line="360" w:lineRule="auto"/>
        <w:ind w:firstLine="480" w:firstLineChars="200"/>
        <w:rPr>
          <w:rFonts w:ascii="Calibri" w:hAnsi="Calibri"/>
          <w:sz w:val="24"/>
          <w:szCs w:val="22"/>
        </w:rPr>
      </w:pPr>
    </w:p>
    <w:p w14:paraId="4498209A">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14:paraId="480018DF">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14:paraId="2D6324B5">
      <w:pPr>
        <w:spacing w:line="360" w:lineRule="auto"/>
        <w:jc w:val="left"/>
        <w:rPr>
          <w:rFonts w:ascii="Calibri" w:hAnsi="Calibri"/>
          <w:sz w:val="24"/>
          <w:szCs w:val="22"/>
        </w:rPr>
        <w:sectPr>
          <w:pgSz w:w="11911" w:h="16838"/>
          <w:pgMar w:top="1440" w:right="1797" w:bottom="1440" w:left="1797" w:header="850" w:footer="737" w:gutter="0"/>
          <w:cols w:space="720" w:num="1"/>
          <w:docGrid w:linePitch="299" w:charSpace="0"/>
        </w:sectPr>
      </w:pPr>
      <w:r>
        <w:rPr>
          <w:rFonts w:hint="eastAsia" w:ascii="Calibri" w:hAnsi="Calibri"/>
          <w:kern w:val="0"/>
          <w:sz w:val="24"/>
          <w:szCs w:val="22"/>
          <w:lang w:eastAsia="en-US"/>
        </w:rPr>
        <w:t>日期：</w:t>
      </w:r>
    </w:p>
    <w:p w14:paraId="75186DE8">
      <w:pPr>
        <w:spacing w:line="360" w:lineRule="auto"/>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格式2-</w:t>
      </w:r>
      <w:r>
        <w:rPr>
          <w:rFonts w:hint="eastAsia" w:ascii="宋体" w:hAnsi="宋体" w:cs="宋体"/>
          <w:b/>
          <w:bCs/>
          <w:kern w:val="0"/>
          <w:sz w:val="32"/>
          <w:szCs w:val="32"/>
          <w:lang w:val="en-US" w:eastAsia="zh-CN"/>
        </w:rPr>
        <w:t>5</w:t>
      </w:r>
    </w:p>
    <w:p w14:paraId="79119C48">
      <w:pPr>
        <w:widowControl/>
        <w:spacing w:line="360" w:lineRule="auto"/>
        <w:jc w:val="center"/>
        <w:outlineLvl w:val="1"/>
        <w:rPr>
          <w:rFonts w:ascii="宋体" w:hAnsi="宋体"/>
          <w:b/>
          <w:sz w:val="32"/>
          <w:szCs w:val="32"/>
        </w:rPr>
      </w:pPr>
      <w:bookmarkStart w:id="190" w:name="_Toc21000"/>
      <w:bookmarkStart w:id="191" w:name="_Toc29679"/>
      <w:r>
        <w:rPr>
          <w:rFonts w:hint="eastAsia" w:ascii="宋体" w:hAnsi="宋体"/>
          <w:b/>
          <w:sz w:val="32"/>
          <w:szCs w:val="32"/>
          <w:lang w:eastAsia="zh-CN"/>
        </w:rPr>
        <w:t>五</w:t>
      </w:r>
      <w:r>
        <w:rPr>
          <w:rFonts w:hint="eastAsia" w:ascii="宋体" w:hAnsi="宋体"/>
          <w:b/>
          <w:sz w:val="32"/>
          <w:szCs w:val="32"/>
        </w:rPr>
        <w:t>、知识产权声明函</w:t>
      </w:r>
      <w:bookmarkEnd w:id="190"/>
      <w:bookmarkEnd w:id="191"/>
    </w:p>
    <w:p w14:paraId="59525B68">
      <w:pPr>
        <w:spacing w:line="360" w:lineRule="auto"/>
        <w:rPr>
          <w:rFonts w:hAnsi="宋体" w:cs="宋体"/>
          <w:sz w:val="24"/>
        </w:rPr>
      </w:pPr>
      <w:r>
        <w:rPr>
          <w:rFonts w:hint="eastAsia" w:hAnsi="宋体" w:cs="宋体"/>
          <w:sz w:val="24"/>
        </w:rPr>
        <w:t>致</w:t>
      </w:r>
      <w:r>
        <w:rPr>
          <w:rFonts w:hint="eastAsia" w:ascii="宋体" w:hAnsi="宋体" w:cs="宋体"/>
          <w:spacing w:val="6"/>
          <w:sz w:val="24"/>
          <w:lang w:eastAsia="zh-CN"/>
        </w:rPr>
        <w:t>四川省成都市第二中学</w:t>
      </w:r>
      <w:r>
        <w:rPr>
          <w:rFonts w:hint="eastAsia" w:ascii="宋体" w:hAnsi="宋体" w:cs="宋体"/>
          <w:spacing w:val="6"/>
          <w:sz w:val="24"/>
        </w:rPr>
        <w:t>：</w:t>
      </w:r>
    </w:p>
    <w:p w14:paraId="3FB647E7">
      <w:pPr>
        <w:pStyle w:val="17"/>
        <w:spacing w:after="0" w:line="360" w:lineRule="auto"/>
        <w:ind w:firstLine="480" w:firstLineChars="200"/>
        <w:rPr>
          <w:rFonts w:hAnsi="宋体" w:cs="宋体"/>
          <w:bCs/>
          <w:sz w:val="24"/>
        </w:rPr>
      </w:pPr>
      <w:r>
        <w:rPr>
          <w:rFonts w:hint="eastAsia" w:hAnsi="宋体" w:cs="宋体"/>
          <w:bCs/>
          <w:sz w:val="24"/>
        </w:rPr>
        <w:t>本单位</w:t>
      </w:r>
      <w:r>
        <w:rPr>
          <w:rFonts w:hint="eastAsia" w:hAnsi="宋体" w:cs="宋体"/>
          <w:bCs/>
          <w:sz w:val="24"/>
          <w:u w:val="single"/>
        </w:rPr>
        <w:t xml:space="preserve">                     </w:t>
      </w:r>
      <w:r>
        <w:rPr>
          <w:rFonts w:hint="eastAsia" w:hAnsi="宋体" w:cs="宋体"/>
          <w:bCs/>
          <w:sz w:val="24"/>
        </w:rPr>
        <w:t>（公司名称）参加</w:t>
      </w:r>
      <w:r>
        <w:rPr>
          <w:rFonts w:hint="eastAsia" w:hAnsi="宋体" w:cs="宋体"/>
          <w:bCs/>
          <w:sz w:val="24"/>
          <w:u w:val="single"/>
        </w:rPr>
        <w:t xml:space="preserve">                  </w:t>
      </w:r>
      <w:r>
        <w:rPr>
          <w:rFonts w:hint="eastAsia" w:hAnsi="宋体" w:cs="宋体"/>
          <w:bCs/>
          <w:sz w:val="24"/>
        </w:rPr>
        <w:t>（项目名称）的谈判活动，现承诺声明：</w:t>
      </w:r>
    </w:p>
    <w:p w14:paraId="3EA83FE2">
      <w:pPr>
        <w:pStyle w:val="17"/>
        <w:spacing w:after="0" w:line="360" w:lineRule="auto"/>
        <w:ind w:firstLine="480" w:firstLineChars="200"/>
        <w:rPr>
          <w:rFonts w:hAnsi="宋体" w:cs="宋体"/>
          <w:bCs/>
          <w:sz w:val="24"/>
        </w:rPr>
      </w:pPr>
      <w:r>
        <w:rPr>
          <w:rFonts w:hint="eastAsia" w:hAnsi="宋体" w:cs="宋体"/>
          <w:bCs/>
          <w:sz w:val="24"/>
        </w:rPr>
        <w:t>1.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14:paraId="3A5B0CB6">
      <w:pPr>
        <w:pStyle w:val="17"/>
        <w:spacing w:after="0" w:line="360" w:lineRule="auto"/>
        <w:ind w:firstLine="480" w:firstLineChars="200"/>
        <w:rPr>
          <w:rFonts w:hAnsi="宋体" w:cs="宋体"/>
          <w:bCs/>
          <w:sz w:val="24"/>
        </w:rPr>
      </w:pPr>
      <w:r>
        <w:rPr>
          <w:rFonts w:hint="eastAsia" w:hAnsi="宋体" w:cs="宋体"/>
          <w:bCs/>
          <w:sz w:val="24"/>
        </w:rPr>
        <w:t>2.采购人享有本项目实施过程中产生的知识成果及知识产权。</w:t>
      </w:r>
    </w:p>
    <w:p w14:paraId="684BFAAF">
      <w:pPr>
        <w:pStyle w:val="17"/>
        <w:spacing w:after="0" w:line="360" w:lineRule="auto"/>
        <w:ind w:firstLine="480" w:firstLineChars="200"/>
        <w:rPr>
          <w:rFonts w:hAnsi="宋体" w:cs="宋体"/>
          <w:bCs/>
          <w:sz w:val="24"/>
        </w:rPr>
      </w:pPr>
      <w:r>
        <w:rPr>
          <w:rFonts w:hint="eastAsia" w:hAnsi="宋体" w:cs="宋体"/>
          <w:bCs/>
          <w:sz w:val="24"/>
        </w:rPr>
        <w:t>3.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w:t>
      </w:r>
    </w:p>
    <w:p w14:paraId="04ECEFF1">
      <w:pPr>
        <w:pStyle w:val="17"/>
        <w:spacing w:after="0" w:line="360" w:lineRule="auto"/>
        <w:ind w:firstLine="480" w:firstLineChars="200"/>
      </w:pPr>
      <w:r>
        <w:rPr>
          <w:rFonts w:hint="eastAsia" w:hAnsi="宋体" w:cs="宋体"/>
          <w:bCs/>
          <w:sz w:val="24"/>
        </w:rPr>
        <w:t xml:space="preserve">4.如采用本单位所不拥有的知识产权，本单位承诺在本项目投标报价中已经包括合法获取该知识产权的相关费用。 </w:t>
      </w:r>
    </w:p>
    <w:p w14:paraId="7B205F6C">
      <w:pPr>
        <w:pStyle w:val="17"/>
        <w:spacing w:after="0" w:line="360" w:lineRule="auto"/>
        <w:ind w:firstLine="480" w:firstLineChars="200"/>
        <w:rPr>
          <w:rFonts w:hAnsi="宋体" w:cs="宋体"/>
          <w:bCs/>
          <w:sz w:val="24"/>
        </w:rPr>
      </w:pPr>
      <w:r>
        <w:rPr>
          <w:rFonts w:hint="eastAsia" w:hAnsi="宋体" w:cs="宋体"/>
          <w:bCs/>
          <w:sz w:val="24"/>
        </w:rPr>
        <w:t>本公司对上述承诺声明内容事项真实性负责。如经查实上述承诺声明的内容事项存在虚假或未履行，本单位愿意接受以提供虚假材料谋取中标追究法律责任。</w:t>
      </w:r>
    </w:p>
    <w:p w14:paraId="3BD2CC8E">
      <w:pPr>
        <w:spacing w:line="360" w:lineRule="auto"/>
        <w:ind w:firstLine="480" w:firstLineChars="200"/>
        <w:rPr>
          <w:rFonts w:ascii="宋体" w:hAnsi="宋体"/>
          <w:sz w:val="24"/>
        </w:rPr>
      </w:pPr>
    </w:p>
    <w:p w14:paraId="70C414F7">
      <w:pPr>
        <w:spacing w:line="360" w:lineRule="auto"/>
        <w:jc w:val="left"/>
        <w:rPr>
          <w:rFonts w:ascii="宋体" w:hAnsi="宋体" w:cs="宋体"/>
          <w:sz w:val="24"/>
        </w:rPr>
      </w:pPr>
      <w:r>
        <w:rPr>
          <w:rFonts w:hint="eastAsia" w:ascii="宋体" w:hAnsi="宋体" w:cs="宋体"/>
          <w:sz w:val="24"/>
        </w:rPr>
        <w:t>法定代表人/单位负责人或授权代表：</w:t>
      </w:r>
      <w:r>
        <w:rPr>
          <w:rFonts w:hint="eastAsia" w:ascii="宋体" w:hAnsi="宋体" w:cs="宋体"/>
          <w:sz w:val="24"/>
          <w:u w:val="single"/>
        </w:rPr>
        <w:t xml:space="preserve">                 </w:t>
      </w:r>
      <w:r>
        <w:rPr>
          <w:rFonts w:hint="eastAsia" w:ascii="宋体" w:hAnsi="宋体" w:cs="宋体"/>
          <w:sz w:val="24"/>
        </w:rPr>
        <w:t>（签字或加盖个人名章）</w:t>
      </w:r>
    </w:p>
    <w:p w14:paraId="5D3E5DED">
      <w:pPr>
        <w:spacing w:line="360" w:lineRule="auto"/>
        <w:jc w:val="left"/>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（单位盖章）</w:t>
      </w:r>
    </w:p>
    <w:p w14:paraId="6461EF92">
      <w:pPr>
        <w:pStyle w:val="17"/>
      </w:pPr>
      <w:r>
        <w:rPr>
          <w:rFonts w:hint="eastAsia" w:ascii="宋体" w:hAnsi="宋体" w:cs="宋体"/>
          <w:sz w:val="24"/>
        </w:rPr>
        <w:t>日期：</w:t>
      </w:r>
    </w:p>
    <w:p w14:paraId="09529A89">
      <w:pPr>
        <w:spacing w:line="360" w:lineRule="auto"/>
        <w:rPr>
          <w:rFonts w:ascii="宋体" w:hAnsi="宋体" w:cs="宋体"/>
          <w:b/>
          <w:bCs/>
          <w:spacing w:val="-1"/>
          <w:kern w:val="0"/>
          <w:sz w:val="28"/>
          <w:szCs w:val="28"/>
        </w:rPr>
      </w:pPr>
    </w:p>
    <w:p w14:paraId="7C551CAE">
      <w:pPr>
        <w:bidi w:val="0"/>
        <w:rPr>
          <w:rFonts w:hint="eastAsia" w:ascii="宋体" w:hAnsi="宋体" w:cs="宋体"/>
          <w:b/>
          <w:bCs/>
          <w:kern w:val="0"/>
          <w:sz w:val="32"/>
          <w:szCs w:val="32"/>
          <w:lang w:val="en-US" w:eastAsia="zh-CN"/>
        </w:rPr>
      </w:pPr>
      <w:r>
        <w:rPr>
          <w:rFonts w:ascii="宋体" w:hAnsi="宋体" w:cs="宋体"/>
          <w:b/>
          <w:bCs/>
          <w:kern w:val="0"/>
          <w:sz w:val="32"/>
          <w:szCs w:val="32"/>
        </w:rPr>
        <w:br w:type="page"/>
      </w:r>
      <w:r>
        <w:rPr>
          <w:rFonts w:hint="eastAsia" w:ascii="宋体" w:hAnsi="宋体" w:cs="宋体"/>
          <w:b/>
          <w:bCs/>
          <w:kern w:val="0"/>
          <w:sz w:val="32"/>
          <w:szCs w:val="32"/>
        </w:rPr>
        <w:t>格式2-</w:t>
      </w:r>
      <w:bookmarkStart w:id="192" w:name="_Toc31400"/>
      <w:bookmarkStart w:id="193" w:name="_Toc504991366"/>
      <w:bookmarkStart w:id="194" w:name="_Toc502912113"/>
      <w:bookmarkStart w:id="195" w:name="_Toc504988321"/>
      <w:bookmarkStart w:id="196" w:name="_Toc504987222"/>
      <w:r>
        <w:rPr>
          <w:rFonts w:hint="eastAsia" w:ascii="宋体" w:hAnsi="宋体" w:cs="宋体"/>
          <w:b/>
          <w:bCs/>
          <w:kern w:val="0"/>
          <w:sz w:val="32"/>
          <w:szCs w:val="32"/>
          <w:lang w:val="en-US" w:eastAsia="zh-CN"/>
        </w:rPr>
        <w:t>6</w:t>
      </w:r>
    </w:p>
    <w:p w14:paraId="21AE2047">
      <w:pPr>
        <w:widowControl/>
        <w:spacing w:line="360" w:lineRule="auto"/>
        <w:jc w:val="center"/>
        <w:outlineLvl w:val="1"/>
        <w:rPr>
          <w:rFonts w:ascii="宋体" w:hAnsi="宋体"/>
          <w:b/>
          <w:kern w:val="0"/>
          <w:sz w:val="32"/>
          <w:szCs w:val="32"/>
        </w:rPr>
      </w:pPr>
      <w:bookmarkStart w:id="197" w:name="_Toc14851"/>
      <w:bookmarkStart w:id="198" w:name="_Toc15599"/>
      <w:r>
        <w:rPr>
          <w:rFonts w:hint="eastAsia" w:ascii="宋体" w:hAnsi="宋体"/>
          <w:b/>
          <w:kern w:val="0"/>
          <w:sz w:val="32"/>
          <w:szCs w:val="32"/>
          <w:lang w:eastAsia="zh-CN"/>
        </w:rPr>
        <w:t>六</w:t>
      </w:r>
      <w:r>
        <w:rPr>
          <w:rFonts w:hint="eastAsia" w:ascii="宋体" w:hAnsi="宋体"/>
          <w:b/>
          <w:kern w:val="0"/>
          <w:sz w:val="32"/>
          <w:szCs w:val="32"/>
        </w:rPr>
        <w:t>、其他有关材料（格式自拟）</w:t>
      </w:r>
      <w:bookmarkEnd w:id="192"/>
      <w:bookmarkEnd w:id="193"/>
      <w:bookmarkEnd w:id="194"/>
      <w:bookmarkEnd w:id="195"/>
      <w:bookmarkEnd w:id="196"/>
      <w:bookmarkEnd w:id="197"/>
      <w:bookmarkEnd w:id="198"/>
    </w:p>
    <w:p w14:paraId="29AE5966">
      <w:pPr>
        <w:spacing w:line="360" w:lineRule="auto"/>
        <w:jc w:val="left"/>
        <w:rPr>
          <w:rFonts w:hint="eastAsia" w:ascii="Calibri" w:hAnsi="Calibri" w:eastAsia="宋体"/>
          <w:kern w:val="0"/>
          <w:sz w:val="22"/>
          <w:szCs w:val="22"/>
          <w:lang w:val="en-US" w:eastAsia="zh-CN"/>
        </w:rPr>
        <w:sectPr>
          <w:pgSz w:w="11911" w:h="16838"/>
          <w:pgMar w:top="1440" w:right="1797" w:bottom="1440" w:left="1797" w:header="850" w:footer="737" w:gutter="0"/>
          <w:cols w:space="720" w:num="1"/>
          <w:docGrid w:linePitch="299" w:charSpace="0"/>
        </w:sectPr>
      </w:pPr>
    </w:p>
    <w:p w14:paraId="40B835A8">
      <w:pPr>
        <w:widowControl/>
        <w:spacing w:line="360" w:lineRule="auto"/>
        <w:jc w:val="center"/>
        <w:outlineLvl w:val="1"/>
        <w:rPr>
          <w:kern w:val="1"/>
        </w:rPr>
      </w:pPr>
      <w:bookmarkStart w:id="199" w:name="_Toc29574"/>
      <w:bookmarkStart w:id="200" w:name="_Toc3149"/>
      <w:r>
        <w:rPr>
          <w:rFonts w:ascii="宋体" w:hAnsi="宋体" w:cs="宋体"/>
          <w:b/>
          <w:sz w:val="32"/>
          <w:szCs w:val="32"/>
        </w:rPr>
        <w:t>第</w:t>
      </w:r>
      <w:r>
        <w:rPr>
          <w:rFonts w:hint="eastAsia" w:ascii="宋体" w:hAnsi="宋体" w:cs="宋体"/>
          <w:b/>
          <w:sz w:val="32"/>
          <w:szCs w:val="32"/>
        </w:rPr>
        <w:t>三</w:t>
      </w:r>
      <w:r>
        <w:rPr>
          <w:rFonts w:ascii="宋体" w:hAnsi="宋体" w:cs="宋体"/>
          <w:b/>
          <w:sz w:val="32"/>
          <w:szCs w:val="32"/>
        </w:rPr>
        <w:t xml:space="preserve">部分  </w:t>
      </w:r>
      <w:r>
        <w:rPr>
          <w:rFonts w:hint="eastAsia" w:ascii="宋体" w:hAnsi="宋体" w:cs="宋体"/>
          <w:b/>
          <w:sz w:val="32"/>
          <w:szCs w:val="32"/>
        </w:rPr>
        <w:t>报价函</w:t>
      </w:r>
      <w:bookmarkEnd w:id="199"/>
      <w:bookmarkEnd w:id="200"/>
    </w:p>
    <w:tbl>
      <w:tblPr>
        <w:tblStyle w:val="4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42"/>
        <w:gridCol w:w="5780"/>
      </w:tblGrid>
      <w:tr w14:paraId="53C354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35" w:hRule="atLeast"/>
          <w:jc w:val="center"/>
        </w:trPr>
        <w:tc>
          <w:tcPr>
            <w:tcW w:w="2342" w:type="dxa"/>
            <w:noWrap/>
            <w:vAlign w:val="center"/>
          </w:tcPr>
          <w:p w14:paraId="28909954">
            <w:pPr>
              <w:pageBreakBefore w:val="0"/>
              <w:kinsoku/>
              <w:wordWrap w:val="0"/>
              <w:overflowPunct/>
              <w:topLinePunct w:val="0"/>
              <w:bidi w:val="0"/>
              <w:jc w:val="center"/>
              <w:textAlignment w:val="auto"/>
              <w:rPr>
                <w:rFonts w:ascii="宋体" w:hAnsi="宋体" w:cs="宋体"/>
                <w:color w:val="auto"/>
                <w:kern w:val="2"/>
                <w:sz w:val="24"/>
                <w:szCs w:val="24"/>
              </w:rPr>
            </w:pPr>
            <w:r>
              <w:rPr>
                <w:rFonts w:hint="eastAsia" w:ascii="宋体" w:hAnsi="宋体" w:cs="宋体"/>
                <w:color w:val="auto"/>
                <w:kern w:val="2"/>
                <w:sz w:val="24"/>
                <w:szCs w:val="24"/>
              </w:rPr>
              <w:t>项目名称</w:t>
            </w:r>
          </w:p>
        </w:tc>
        <w:tc>
          <w:tcPr>
            <w:tcW w:w="5780" w:type="dxa"/>
            <w:noWrap/>
            <w:vAlign w:val="center"/>
          </w:tcPr>
          <w:p w14:paraId="53A0C423">
            <w:pPr>
              <w:pageBreakBefore w:val="0"/>
              <w:kinsoku/>
              <w:wordWrap w:val="0"/>
              <w:overflowPunct/>
              <w:topLinePunct w:val="0"/>
              <w:bidi w:val="0"/>
              <w:jc w:val="center"/>
              <w:textAlignment w:val="auto"/>
              <w:rPr>
                <w:rFonts w:ascii="宋体" w:hAnsi="宋体" w:cs="宋体"/>
                <w:color w:val="auto"/>
                <w:kern w:val="2"/>
                <w:sz w:val="24"/>
                <w:szCs w:val="24"/>
              </w:rPr>
            </w:pPr>
          </w:p>
        </w:tc>
      </w:tr>
      <w:tr w14:paraId="4BDFA4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35" w:hRule="atLeast"/>
          <w:jc w:val="center"/>
        </w:trPr>
        <w:tc>
          <w:tcPr>
            <w:tcW w:w="2342" w:type="dxa"/>
            <w:noWrap/>
            <w:vAlign w:val="center"/>
          </w:tcPr>
          <w:p w14:paraId="704BBC4A">
            <w:pPr>
              <w:pageBreakBefore w:val="0"/>
              <w:kinsoku/>
              <w:wordWrap w:val="0"/>
              <w:overflowPunct/>
              <w:topLinePunct w:val="0"/>
              <w:bidi w:val="0"/>
              <w:jc w:val="center"/>
              <w:textAlignment w:val="auto"/>
              <w:rPr>
                <w:rFonts w:ascii="宋体" w:hAnsi="宋体" w:cs="宋体"/>
                <w:color w:val="auto"/>
                <w:kern w:val="2"/>
                <w:sz w:val="24"/>
                <w:szCs w:val="24"/>
              </w:rPr>
            </w:pPr>
            <w:r>
              <w:rPr>
                <w:rFonts w:hint="eastAsia" w:ascii="宋体" w:hAnsi="宋体" w:cs="宋体"/>
                <w:color w:val="auto"/>
                <w:kern w:val="2"/>
                <w:sz w:val="24"/>
                <w:szCs w:val="24"/>
              </w:rPr>
              <w:t>采购项目编号</w:t>
            </w:r>
          </w:p>
        </w:tc>
        <w:tc>
          <w:tcPr>
            <w:tcW w:w="5780" w:type="dxa"/>
            <w:noWrap/>
            <w:vAlign w:val="center"/>
          </w:tcPr>
          <w:p w14:paraId="33DDFF82">
            <w:pPr>
              <w:pageBreakBefore w:val="0"/>
              <w:kinsoku/>
              <w:wordWrap w:val="0"/>
              <w:overflowPunct/>
              <w:topLinePunct w:val="0"/>
              <w:bidi w:val="0"/>
              <w:textAlignment w:val="auto"/>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无</w:t>
            </w:r>
          </w:p>
        </w:tc>
      </w:tr>
      <w:tr w14:paraId="0EFA2B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881" w:hRule="atLeast"/>
          <w:jc w:val="center"/>
        </w:trPr>
        <w:tc>
          <w:tcPr>
            <w:tcW w:w="2342" w:type="dxa"/>
            <w:noWrap/>
            <w:vAlign w:val="center"/>
          </w:tcPr>
          <w:p w14:paraId="1A38BA46">
            <w:pPr>
              <w:pageBreakBefore w:val="0"/>
              <w:kinsoku/>
              <w:wordWrap w:val="0"/>
              <w:overflowPunct/>
              <w:topLinePunct w:val="0"/>
              <w:bidi w:val="0"/>
              <w:jc w:val="center"/>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折扣率</w:t>
            </w:r>
          </w:p>
        </w:tc>
        <w:tc>
          <w:tcPr>
            <w:tcW w:w="5780" w:type="dxa"/>
            <w:noWrap/>
            <w:vAlign w:val="center"/>
          </w:tcPr>
          <w:p w14:paraId="2CEFC632">
            <w:pPr>
              <w:pageBreakBefore w:val="0"/>
              <w:kinsoku/>
              <w:wordWrap w:val="0"/>
              <w:overflowPunct/>
              <w:topLinePunct w:val="0"/>
              <w:bidi w:val="0"/>
              <w:textAlignment w:val="auto"/>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按照洋码价格折扣率为</w:t>
            </w:r>
            <w:r>
              <w:rPr>
                <w:rFonts w:hint="eastAsia" w:ascii="宋体" w:hAnsi="宋体" w:cs="宋体"/>
                <w:color w:val="auto"/>
                <w:kern w:val="2"/>
                <w:sz w:val="24"/>
                <w:szCs w:val="24"/>
                <w:u w:val="single"/>
                <w:lang w:val="en-US" w:eastAsia="zh-CN"/>
              </w:rPr>
              <w:t xml:space="preserve">     </w:t>
            </w:r>
            <w:r>
              <w:rPr>
                <w:rFonts w:hint="eastAsia" w:ascii="宋体" w:hAnsi="宋体" w:cs="宋体"/>
                <w:color w:val="auto"/>
                <w:kern w:val="2"/>
                <w:sz w:val="24"/>
                <w:szCs w:val="24"/>
                <w:lang w:val="en-US" w:eastAsia="zh-CN"/>
              </w:rPr>
              <w:t>%</w:t>
            </w:r>
            <w:r>
              <w:rPr>
                <w:rFonts w:hint="eastAsia" w:ascii="宋体" w:hAnsi="宋体" w:cs="宋体"/>
                <w:color w:val="auto"/>
                <w:kern w:val="2"/>
                <w:sz w:val="24"/>
                <w:szCs w:val="24"/>
                <w:u w:val="single"/>
                <w:lang w:val="en-US" w:eastAsia="zh-CN"/>
              </w:rPr>
              <w:t xml:space="preserve">      </w:t>
            </w:r>
          </w:p>
        </w:tc>
      </w:tr>
    </w:tbl>
    <w:p w14:paraId="212D7048">
      <w:pPr>
        <w:spacing w:line="360" w:lineRule="auto"/>
        <w:jc w:val="left"/>
        <w:rPr>
          <w:rFonts w:ascii="宋体" w:hAnsi="宋体" w:cs="宋体"/>
          <w:b/>
          <w:szCs w:val="21"/>
        </w:rPr>
      </w:pPr>
    </w:p>
    <w:p w14:paraId="12C6C10D">
      <w:pPr>
        <w:pStyle w:val="17"/>
        <w:rPr>
          <w:rFonts w:cs="宋体"/>
          <w:b/>
          <w:sz w:val="22"/>
        </w:rPr>
      </w:pPr>
      <w:r>
        <w:rPr>
          <w:rFonts w:hint="eastAsia" w:cs="宋体"/>
          <w:b/>
          <w:sz w:val="22"/>
        </w:rPr>
        <w:t>注：所有报价为供应商响应采购项目要求的全部工作内容的价格体现，包含完成本项目所涉及的</w:t>
      </w:r>
      <w:r>
        <w:rPr>
          <w:rFonts w:hint="eastAsia" w:cs="宋体"/>
          <w:b/>
          <w:sz w:val="22"/>
          <w:lang w:val="en-US" w:eastAsia="zh-CN"/>
        </w:rPr>
        <w:t>书籍出售费用、</w:t>
      </w:r>
      <w:r>
        <w:rPr>
          <w:rFonts w:hint="eastAsia" w:cs="宋体"/>
          <w:b/>
          <w:sz w:val="22"/>
        </w:rPr>
        <w:t>服务人员费、设备设施投入、税金、利润以及竞争性</w:t>
      </w:r>
      <w:r>
        <w:rPr>
          <w:rFonts w:hint="eastAsia" w:cs="宋体"/>
          <w:b/>
          <w:sz w:val="22"/>
          <w:lang w:eastAsia="zh-CN"/>
        </w:rPr>
        <w:t>谈判</w:t>
      </w:r>
      <w:r>
        <w:rPr>
          <w:rFonts w:hint="eastAsia" w:cs="宋体"/>
          <w:b/>
          <w:sz w:val="22"/>
        </w:rPr>
        <w:t>文件规定的一切费用</w:t>
      </w:r>
      <w:r>
        <w:rPr>
          <w:rFonts w:hint="eastAsia" w:cs="宋体"/>
          <w:b/>
          <w:bCs/>
          <w:sz w:val="22"/>
        </w:rPr>
        <w:t>。</w:t>
      </w:r>
    </w:p>
    <w:p w14:paraId="2EE1FC8D">
      <w:pPr>
        <w:spacing w:line="360" w:lineRule="auto"/>
        <w:jc w:val="left"/>
        <w:rPr>
          <w:rFonts w:ascii="Calibri" w:hAnsi="Calibri"/>
          <w:kern w:val="0"/>
          <w:sz w:val="24"/>
          <w:szCs w:val="22"/>
        </w:rPr>
      </w:pPr>
    </w:p>
    <w:p w14:paraId="06BAE132">
      <w:pPr>
        <w:spacing w:line="360" w:lineRule="auto"/>
        <w:jc w:val="left"/>
        <w:rPr>
          <w:rFonts w:ascii="Calibri" w:hAnsi="Calibri"/>
          <w:kern w:val="0"/>
          <w:sz w:val="24"/>
          <w:szCs w:val="22"/>
        </w:rPr>
      </w:pPr>
      <w:r>
        <w:rPr>
          <w:rFonts w:hint="eastAsia" w:ascii="Calibri" w:hAnsi="Calibri"/>
          <w:kern w:val="0"/>
          <w:sz w:val="24"/>
          <w:szCs w:val="22"/>
        </w:rPr>
        <w:t>法定代表人/单位负责人或授权代表：</w:t>
      </w:r>
      <w:r>
        <w:rPr>
          <w:rFonts w:hint="eastAsia" w:ascii="Calibri" w:hAnsi="Calibri"/>
          <w:kern w:val="0"/>
          <w:sz w:val="24"/>
          <w:szCs w:val="22"/>
          <w:u w:val="single"/>
        </w:rPr>
        <w:t xml:space="preserve">                 </w:t>
      </w:r>
      <w:r>
        <w:rPr>
          <w:rFonts w:hint="eastAsia" w:ascii="Calibri" w:hAnsi="Calibri"/>
          <w:kern w:val="0"/>
          <w:sz w:val="24"/>
          <w:szCs w:val="22"/>
        </w:rPr>
        <w:t>（签字或加盖个人名章）</w:t>
      </w:r>
    </w:p>
    <w:p w14:paraId="4FE0140C">
      <w:pPr>
        <w:spacing w:line="360" w:lineRule="auto"/>
        <w:jc w:val="left"/>
        <w:rPr>
          <w:rFonts w:ascii="Calibri" w:hAnsi="Calibri"/>
          <w:kern w:val="0"/>
          <w:sz w:val="24"/>
          <w:szCs w:val="22"/>
        </w:rPr>
      </w:pPr>
      <w:r>
        <w:rPr>
          <w:rFonts w:hint="eastAsia" w:ascii="Calibri" w:hAnsi="Calibri"/>
          <w:kern w:val="0"/>
          <w:sz w:val="24"/>
          <w:szCs w:val="22"/>
        </w:rPr>
        <w:t>供应商名称：</w:t>
      </w:r>
      <w:r>
        <w:rPr>
          <w:rFonts w:hint="eastAsia" w:ascii="Calibri" w:hAnsi="Calibri"/>
          <w:kern w:val="0"/>
          <w:sz w:val="24"/>
          <w:szCs w:val="22"/>
          <w:u w:val="single"/>
        </w:rPr>
        <w:t xml:space="preserve">                      </w:t>
      </w:r>
      <w:r>
        <w:rPr>
          <w:rFonts w:hint="eastAsia" w:ascii="Calibri" w:hAnsi="Calibri"/>
          <w:kern w:val="0"/>
          <w:sz w:val="24"/>
          <w:szCs w:val="22"/>
        </w:rPr>
        <w:t>（单位盖章）</w:t>
      </w:r>
    </w:p>
    <w:p w14:paraId="79CE9DC7">
      <w:pPr>
        <w:spacing w:line="360" w:lineRule="auto"/>
        <w:rPr>
          <w:rFonts w:ascii="Calibri" w:hAnsi="Calibri"/>
          <w:kern w:val="0"/>
          <w:sz w:val="24"/>
          <w:szCs w:val="22"/>
        </w:rPr>
      </w:pPr>
      <w:r>
        <w:rPr>
          <w:rFonts w:hint="eastAsia" w:ascii="Calibri" w:hAnsi="Calibri"/>
          <w:kern w:val="0"/>
          <w:sz w:val="24"/>
          <w:szCs w:val="22"/>
        </w:rPr>
        <w:t>日期：</w:t>
      </w:r>
    </w:p>
    <w:p w14:paraId="0C52B808">
      <w:pPr>
        <w:rPr>
          <w:rFonts w:hint="eastAsia"/>
        </w:rPr>
      </w:pPr>
      <w:bookmarkStart w:id="201" w:name="_Toc504991368"/>
      <w:bookmarkStart w:id="202" w:name="_Toc504988323"/>
      <w:bookmarkStart w:id="203" w:name="_Toc504987224"/>
      <w:r>
        <w:rPr>
          <w:rFonts w:hint="eastAsia"/>
        </w:rPr>
        <w:br w:type="page"/>
      </w:r>
    </w:p>
    <w:p w14:paraId="3A36D339">
      <w:pPr>
        <w:pStyle w:val="40"/>
        <w:spacing w:before="0" w:after="0" w:line="360" w:lineRule="auto"/>
      </w:pPr>
      <w:bookmarkStart w:id="204" w:name="_Toc12910"/>
      <w:r>
        <w:rPr>
          <w:rFonts w:hint="eastAsia"/>
        </w:rPr>
        <w:t>第七章  评审方法</w:t>
      </w:r>
      <w:bookmarkEnd w:id="201"/>
      <w:bookmarkEnd w:id="202"/>
      <w:bookmarkEnd w:id="203"/>
      <w:bookmarkEnd w:id="204"/>
    </w:p>
    <w:p w14:paraId="4B80BD59">
      <w:pPr>
        <w:spacing w:line="360" w:lineRule="auto"/>
        <w:rPr>
          <w:rFonts w:ascii="宋体" w:hAnsi="宋体"/>
          <w:b/>
          <w:bCs/>
          <w:sz w:val="24"/>
        </w:rPr>
      </w:pPr>
      <w:r>
        <w:rPr>
          <w:rFonts w:hint="eastAsia" w:ascii="宋体" w:hAnsi="宋体"/>
          <w:b/>
          <w:bCs/>
          <w:sz w:val="24"/>
        </w:rPr>
        <w:t>1.总则</w:t>
      </w:r>
    </w:p>
    <w:p w14:paraId="7E79E07D">
      <w:pPr>
        <w:spacing w:line="360" w:lineRule="auto"/>
        <w:ind w:firstLine="480" w:firstLineChars="200"/>
        <w:rPr>
          <w:rFonts w:ascii="宋体" w:hAnsi="宋体"/>
          <w:bCs/>
          <w:sz w:val="24"/>
        </w:rPr>
      </w:pPr>
      <w:r>
        <w:rPr>
          <w:rFonts w:hint="eastAsia" w:ascii="宋体" w:hAnsi="宋体"/>
          <w:bCs/>
          <w:sz w:val="24"/>
        </w:rPr>
        <w:t>1.1</w:t>
      </w:r>
      <w:r>
        <w:rPr>
          <w:rFonts w:hint="eastAsia" w:ascii="宋体" w:hAnsi="宋体"/>
          <w:bCs/>
          <w:sz w:val="24"/>
          <w:lang w:eastAsia="zh-CN"/>
        </w:rPr>
        <w:t>参照</w:t>
      </w:r>
      <w:r>
        <w:rPr>
          <w:rFonts w:hint="eastAsia" w:ascii="宋体" w:hAnsi="宋体"/>
          <w:bCs/>
          <w:sz w:val="24"/>
        </w:rPr>
        <w:t>《中华人民共和国政府采购法》、《中华人民共和国政府采购法实施条例》、《政府采购非招标采购方式管理办法》等法律制度，结合采购项目特点制定本谈判办法。</w:t>
      </w:r>
    </w:p>
    <w:p w14:paraId="0199D201">
      <w:pPr>
        <w:spacing w:line="360" w:lineRule="auto"/>
        <w:ind w:firstLine="480" w:firstLineChars="200"/>
        <w:rPr>
          <w:rFonts w:ascii="宋体" w:hAnsi="宋体"/>
          <w:bCs/>
          <w:sz w:val="24"/>
        </w:rPr>
      </w:pPr>
      <w:r>
        <w:rPr>
          <w:rFonts w:hint="eastAsia" w:ascii="宋体" w:hAnsi="宋体"/>
          <w:bCs/>
          <w:sz w:val="24"/>
        </w:rPr>
        <w:t>1.2 谈判工作由采购</w:t>
      </w:r>
      <w:r>
        <w:rPr>
          <w:rFonts w:hint="eastAsia" w:ascii="宋体" w:hAnsi="宋体"/>
          <w:bCs/>
          <w:sz w:val="24"/>
          <w:lang w:val="en-US" w:eastAsia="zh-CN"/>
        </w:rPr>
        <w:t>人</w:t>
      </w:r>
      <w:r>
        <w:rPr>
          <w:rFonts w:hint="eastAsia" w:ascii="宋体" w:hAnsi="宋体"/>
          <w:bCs/>
          <w:sz w:val="24"/>
        </w:rPr>
        <w:t>负责组织，具体谈判由采购</w:t>
      </w:r>
      <w:r>
        <w:rPr>
          <w:rFonts w:hint="eastAsia" w:ascii="宋体" w:hAnsi="宋体"/>
          <w:bCs/>
          <w:sz w:val="24"/>
          <w:lang w:val="en-US" w:eastAsia="zh-CN"/>
        </w:rPr>
        <w:t>人</w:t>
      </w:r>
      <w:r>
        <w:rPr>
          <w:rFonts w:hint="eastAsia" w:ascii="宋体" w:hAnsi="宋体"/>
          <w:bCs/>
          <w:sz w:val="24"/>
        </w:rPr>
        <w:t>依法组建的谈判小组负责。谈判小组由采购人代表组成。</w:t>
      </w:r>
    </w:p>
    <w:p w14:paraId="05EF3441">
      <w:pPr>
        <w:spacing w:line="360" w:lineRule="auto"/>
        <w:ind w:firstLine="480" w:firstLineChars="200"/>
        <w:rPr>
          <w:rFonts w:ascii="宋体" w:hAnsi="宋体"/>
          <w:bCs/>
          <w:sz w:val="24"/>
        </w:rPr>
      </w:pPr>
      <w:r>
        <w:rPr>
          <w:rFonts w:hint="eastAsia" w:ascii="宋体" w:hAnsi="宋体"/>
          <w:bCs/>
          <w:sz w:val="24"/>
        </w:rPr>
        <w:t>1.3 谈判工作应遵循公平、公正、科学及择优的原则，并以相同的谈判程序和标准对待所有的供应商。</w:t>
      </w:r>
    </w:p>
    <w:p w14:paraId="323462B8">
      <w:pPr>
        <w:spacing w:line="360" w:lineRule="auto"/>
        <w:ind w:firstLine="480" w:firstLineChars="200"/>
        <w:rPr>
          <w:rFonts w:ascii="宋体" w:hAnsi="宋体"/>
          <w:bCs/>
          <w:sz w:val="24"/>
        </w:rPr>
      </w:pPr>
      <w:r>
        <w:rPr>
          <w:rFonts w:hint="eastAsia" w:ascii="宋体" w:hAnsi="宋体"/>
          <w:bCs/>
          <w:sz w:val="24"/>
        </w:rPr>
        <w:t>1.4 谈判小组按照谈判文件规定的谈判方法和标准进行谈判，并独立履行下列职责：</w:t>
      </w:r>
    </w:p>
    <w:p w14:paraId="3E6CDCE0">
      <w:pPr>
        <w:spacing w:line="360" w:lineRule="auto"/>
        <w:ind w:firstLine="480" w:firstLineChars="200"/>
        <w:rPr>
          <w:rFonts w:ascii="宋体" w:hAnsi="宋体"/>
          <w:bCs/>
          <w:sz w:val="24"/>
        </w:rPr>
      </w:pPr>
      <w:r>
        <w:rPr>
          <w:rFonts w:hint="eastAsia" w:ascii="宋体" w:hAnsi="宋体"/>
          <w:bCs/>
          <w:sz w:val="24"/>
        </w:rPr>
        <w:t>（一）熟悉和理解谈判文件，确定谈判文件内容是否违反国家有关强制性规定或者谈判文件存在歧义、重大缺陷；</w:t>
      </w:r>
    </w:p>
    <w:p w14:paraId="3DD264EC">
      <w:pPr>
        <w:spacing w:line="360" w:lineRule="auto"/>
        <w:ind w:firstLine="480" w:firstLineChars="200"/>
        <w:rPr>
          <w:rFonts w:ascii="宋体" w:hAnsi="宋体"/>
          <w:bCs/>
          <w:sz w:val="24"/>
        </w:rPr>
      </w:pPr>
      <w:r>
        <w:rPr>
          <w:rFonts w:hint="eastAsia" w:ascii="宋体" w:hAnsi="宋体"/>
          <w:bCs/>
          <w:sz w:val="24"/>
        </w:rPr>
        <w:t>（二）审查供应商响应文件是否满足谈判文件要求，并作出公正评价；</w:t>
      </w:r>
    </w:p>
    <w:p w14:paraId="3C976F56">
      <w:pPr>
        <w:spacing w:line="360" w:lineRule="auto"/>
        <w:ind w:firstLine="480" w:firstLineChars="200"/>
        <w:rPr>
          <w:rFonts w:ascii="宋体" w:hAnsi="宋体"/>
          <w:bCs/>
          <w:sz w:val="24"/>
        </w:rPr>
      </w:pPr>
      <w:r>
        <w:rPr>
          <w:rFonts w:hint="eastAsia" w:ascii="宋体" w:hAnsi="宋体"/>
          <w:bCs/>
          <w:sz w:val="24"/>
        </w:rPr>
        <w:t>（三）根据需要要求供应商对谈判文件有关事项作出澄清、说明或者纠正；</w:t>
      </w:r>
    </w:p>
    <w:p w14:paraId="3BF1CBC9">
      <w:pPr>
        <w:spacing w:line="360" w:lineRule="auto"/>
        <w:ind w:firstLine="480" w:firstLineChars="200"/>
        <w:rPr>
          <w:rFonts w:ascii="宋体" w:hAnsi="宋体"/>
          <w:bCs/>
          <w:sz w:val="24"/>
        </w:rPr>
      </w:pPr>
      <w:r>
        <w:rPr>
          <w:rFonts w:hint="eastAsia" w:ascii="宋体" w:hAnsi="宋体"/>
          <w:bCs/>
          <w:sz w:val="24"/>
        </w:rPr>
        <w:t>（四）推荐成交供应商，或者受采购人委托确定成交供应商；</w:t>
      </w:r>
    </w:p>
    <w:p w14:paraId="38310A4D">
      <w:pPr>
        <w:spacing w:line="360" w:lineRule="auto"/>
        <w:ind w:firstLine="480" w:firstLineChars="200"/>
        <w:rPr>
          <w:rFonts w:ascii="宋体" w:hAnsi="宋体"/>
          <w:bCs/>
          <w:sz w:val="24"/>
        </w:rPr>
      </w:pPr>
      <w:r>
        <w:rPr>
          <w:rFonts w:hint="eastAsia" w:ascii="宋体" w:hAnsi="宋体"/>
          <w:bCs/>
          <w:sz w:val="24"/>
        </w:rPr>
        <w:t>（五）起草评审报告并进行签署；</w:t>
      </w:r>
    </w:p>
    <w:p w14:paraId="629D324B">
      <w:pPr>
        <w:spacing w:line="360" w:lineRule="auto"/>
        <w:ind w:firstLine="480" w:firstLineChars="200"/>
        <w:rPr>
          <w:rFonts w:ascii="宋体" w:hAnsi="宋体"/>
          <w:bCs/>
          <w:sz w:val="24"/>
        </w:rPr>
      </w:pPr>
      <w:r>
        <w:rPr>
          <w:rFonts w:hint="eastAsia" w:ascii="宋体" w:hAnsi="宋体"/>
          <w:bCs/>
          <w:sz w:val="24"/>
        </w:rPr>
        <w:t>（六）向采购人、财政部门或者其他监督部门报告非法干预评审工作的行为；</w:t>
      </w:r>
    </w:p>
    <w:p w14:paraId="5F57D5C0">
      <w:pPr>
        <w:spacing w:line="360" w:lineRule="auto"/>
        <w:ind w:firstLine="480" w:firstLineChars="200"/>
        <w:rPr>
          <w:rFonts w:ascii="宋体" w:hAnsi="宋体"/>
          <w:bCs/>
          <w:sz w:val="24"/>
        </w:rPr>
      </w:pPr>
      <w:r>
        <w:rPr>
          <w:rFonts w:hint="eastAsia" w:ascii="宋体" w:hAnsi="宋体"/>
          <w:bCs/>
          <w:sz w:val="24"/>
        </w:rPr>
        <w:t>（七）法律、法规和规章规定的其他职责。</w:t>
      </w:r>
    </w:p>
    <w:p w14:paraId="77124234">
      <w:pPr>
        <w:spacing w:line="360" w:lineRule="auto"/>
        <w:ind w:firstLine="480" w:firstLineChars="200"/>
        <w:rPr>
          <w:rFonts w:ascii="宋体" w:hAnsi="宋体"/>
          <w:bCs/>
          <w:sz w:val="24"/>
        </w:rPr>
      </w:pPr>
      <w:r>
        <w:rPr>
          <w:rFonts w:hint="eastAsia" w:ascii="宋体" w:hAnsi="宋体"/>
          <w:bCs/>
          <w:sz w:val="24"/>
        </w:rPr>
        <w:t>1.5 （实质性要求）谈判过程独立、保密。供应商非法干预谈判过程的，其响应文件作为无效处理。</w:t>
      </w:r>
    </w:p>
    <w:p w14:paraId="04C4FD9E">
      <w:pPr>
        <w:spacing w:line="360" w:lineRule="auto"/>
        <w:ind w:firstLine="480" w:firstLineChars="200"/>
        <w:rPr>
          <w:rFonts w:ascii="宋体" w:hAnsi="宋体"/>
          <w:bCs/>
          <w:sz w:val="24"/>
        </w:rPr>
      </w:pPr>
      <w:r>
        <w:rPr>
          <w:rFonts w:hint="eastAsia" w:ascii="宋体" w:hAnsi="宋体"/>
          <w:bCs/>
          <w:sz w:val="24"/>
        </w:rPr>
        <w:t>1.6 谈判小组评价响应文件，除谈判小组要求其澄清、说明或者纠正而提供的资料外，仅依据响应文件本身的内容，不寻求供应商提供其他外部证据。</w:t>
      </w:r>
    </w:p>
    <w:p w14:paraId="0D023BBD">
      <w:pPr>
        <w:spacing w:line="360" w:lineRule="auto"/>
        <w:ind w:firstLine="480" w:firstLineChars="200"/>
        <w:rPr>
          <w:rFonts w:ascii="宋体" w:hAnsi="宋体"/>
          <w:sz w:val="24"/>
        </w:rPr>
      </w:pPr>
      <w:r>
        <w:rPr>
          <w:rFonts w:hint="eastAsia" w:ascii="宋体" w:hAnsi="宋体"/>
          <w:sz w:val="24"/>
        </w:rPr>
        <w:t>1</w:t>
      </w:r>
      <w:r>
        <w:rPr>
          <w:rFonts w:ascii="宋体" w:hAnsi="宋体"/>
          <w:sz w:val="24"/>
        </w:rPr>
        <w:t>.7</w:t>
      </w:r>
      <w:r>
        <w:rPr>
          <w:rFonts w:hint="eastAsia" w:ascii="宋体" w:hAnsi="宋体"/>
          <w:sz w:val="24"/>
        </w:rPr>
        <w:t>本项目评审方法为：最低评标价法（以最终报价总价为评审依据）。</w:t>
      </w:r>
    </w:p>
    <w:p w14:paraId="56F07A53">
      <w:pPr>
        <w:spacing w:line="360" w:lineRule="auto"/>
        <w:rPr>
          <w:rFonts w:ascii="宋体" w:hAnsi="宋体"/>
          <w:b/>
          <w:bCs/>
          <w:sz w:val="24"/>
        </w:rPr>
      </w:pPr>
      <w:r>
        <w:rPr>
          <w:rFonts w:hint="eastAsia" w:ascii="宋体" w:hAnsi="宋体"/>
          <w:b/>
          <w:bCs/>
          <w:sz w:val="24"/>
        </w:rPr>
        <w:t>2.评审程序</w:t>
      </w:r>
    </w:p>
    <w:p w14:paraId="68783F49">
      <w:pPr>
        <w:spacing w:line="360" w:lineRule="auto"/>
        <w:ind w:firstLine="480" w:firstLineChars="200"/>
        <w:rPr>
          <w:rFonts w:ascii="宋体" w:hAnsi="宋体"/>
          <w:bCs/>
          <w:sz w:val="24"/>
        </w:rPr>
      </w:pPr>
      <w:r>
        <w:rPr>
          <w:rFonts w:hint="eastAsia" w:ascii="宋体" w:hAnsi="宋体"/>
          <w:bCs/>
          <w:sz w:val="24"/>
        </w:rPr>
        <w:t>2.1熟悉和理解谈判文件和停止评审。</w:t>
      </w:r>
    </w:p>
    <w:p w14:paraId="74359840">
      <w:pPr>
        <w:spacing w:line="360" w:lineRule="auto"/>
        <w:ind w:firstLine="480" w:firstLineChars="200"/>
        <w:rPr>
          <w:rFonts w:ascii="宋体" w:hAnsi="宋体"/>
          <w:bCs/>
          <w:sz w:val="24"/>
        </w:rPr>
      </w:pPr>
      <w:r>
        <w:rPr>
          <w:rFonts w:hint="eastAsia" w:ascii="宋体" w:hAnsi="宋体"/>
          <w:bCs/>
          <w:sz w:val="24"/>
        </w:rPr>
        <w:t>2.1.1 谈判小组正式评审前，应当对谈判文件进行熟悉和理解，内容主要包括谈判文件中供应商资格条件要求、采购项目技术、服务和商务要求、评审方法和标准、政府采购政策要求以及采购合同主要条款等。</w:t>
      </w:r>
    </w:p>
    <w:p w14:paraId="75BBA1FB">
      <w:pPr>
        <w:spacing w:line="360" w:lineRule="auto"/>
        <w:ind w:firstLine="480" w:firstLineChars="200"/>
        <w:rPr>
          <w:rFonts w:ascii="宋体" w:hAnsi="宋体"/>
          <w:bCs/>
          <w:sz w:val="24"/>
        </w:rPr>
      </w:pPr>
      <w:r>
        <w:rPr>
          <w:rFonts w:hint="eastAsia" w:ascii="宋体" w:hAnsi="宋体"/>
          <w:bCs/>
          <w:sz w:val="24"/>
        </w:rPr>
        <w:t>2.1.2 本谈判文件有下列情形之一的，谈判小组应当停止评审：</w:t>
      </w:r>
    </w:p>
    <w:p w14:paraId="56CB0BFF">
      <w:pPr>
        <w:spacing w:line="360" w:lineRule="auto"/>
        <w:ind w:firstLine="480" w:firstLineChars="200"/>
        <w:rPr>
          <w:rFonts w:ascii="宋体" w:hAnsi="宋体"/>
          <w:bCs/>
          <w:sz w:val="24"/>
        </w:rPr>
      </w:pPr>
      <w:r>
        <w:rPr>
          <w:rFonts w:hint="eastAsia" w:ascii="宋体" w:hAnsi="宋体"/>
          <w:bCs/>
          <w:sz w:val="24"/>
        </w:rPr>
        <w:t>（1）谈判文件的规定存在歧义、重大缺陷的；</w:t>
      </w:r>
    </w:p>
    <w:p w14:paraId="7CDE3FD5">
      <w:pPr>
        <w:spacing w:line="360" w:lineRule="auto"/>
        <w:ind w:firstLine="480" w:firstLineChars="200"/>
        <w:rPr>
          <w:rFonts w:ascii="宋体" w:hAnsi="宋体"/>
          <w:bCs/>
          <w:sz w:val="24"/>
        </w:rPr>
      </w:pPr>
      <w:r>
        <w:rPr>
          <w:rFonts w:hint="eastAsia" w:ascii="宋体" w:hAnsi="宋体"/>
          <w:bCs/>
          <w:sz w:val="24"/>
        </w:rPr>
        <w:t>（2）谈判文件明显以不合理条件对供应商实行差别待遇或者歧视待遇的；</w:t>
      </w:r>
    </w:p>
    <w:p w14:paraId="07D2B564">
      <w:pPr>
        <w:spacing w:line="360" w:lineRule="auto"/>
        <w:ind w:firstLine="480" w:firstLineChars="200"/>
        <w:rPr>
          <w:rFonts w:ascii="宋体" w:hAnsi="宋体"/>
          <w:bCs/>
          <w:sz w:val="24"/>
        </w:rPr>
      </w:pPr>
      <w:r>
        <w:rPr>
          <w:rFonts w:hint="eastAsia" w:ascii="宋体" w:hAnsi="宋体"/>
          <w:bCs/>
          <w:sz w:val="24"/>
        </w:rPr>
        <w:t>（3）采购项目属于国家规定的优先、强制采购范围，但是谈判文件未依法体现优先、强制采购相关规定的；</w:t>
      </w:r>
    </w:p>
    <w:p w14:paraId="1CC7155D">
      <w:pPr>
        <w:spacing w:line="360" w:lineRule="auto"/>
        <w:ind w:firstLine="480" w:firstLineChars="200"/>
        <w:rPr>
          <w:rFonts w:ascii="宋体" w:hAnsi="宋体"/>
          <w:bCs/>
          <w:sz w:val="24"/>
        </w:rPr>
      </w:pPr>
      <w:r>
        <w:rPr>
          <w:rFonts w:hint="eastAsia" w:ascii="宋体" w:hAnsi="宋体"/>
          <w:bCs/>
          <w:sz w:val="24"/>
        </w:rPr>
        <w:t>（4）谈判文件将供应商的资格条件列为评分因素的；</w:t>
      </w:r>
    </w:p>
    <w:p w14:paraId="75E067DD">
      <w:pPr>
        <w:spacing w:line="360" w:lineRule="auto"/>
        <w:ind w:firstLine="480" w:firstLineChars="200"/>
        <w:rPr>
          <w:rFonts w:ascii="宋体" w:hAnsi="宋体"/>
          <w:bCs/>
          <w:sz w:val="24"/>
        </w:rPr>
      </w:pPr>
      <w:r>
        <w:rPr>
          <w:rFonts w:hint="eastAsia" w:ascii="宋体" w:hAnsi="宋体"/>
          <w:bCs/>
          <w:sz w:val="24"/>
        </w:rPr>
        <w:t>（5）谈判文件载明的成交原则不合法的；</w:t>
      </w:r>
    </w:p>
    <w:p w14:paraId="22E1CA15">
      <w:pPr>
        <w:spacing w:line="360" w:lineRule="auto"/>
        <w:ind w:firstLine="480" w:firstLineChars="200"/>
        <w:rPr>
          <w:rFonts w:ascii="宋体" w:hAnsi="宋体"/>
          <w:bCs/>
          <w:sz w:val="24"/>
        </w:rPr>
      </w:pPr>
      <w:r>
        <w:rPr>
          <w:rFonts w:hint="eastAsia" w:ascii="宋体" w:hAnsi="宋体"/>
          <w:bCs/>
          <w:sz w:val="24"/>
        </w:rPr>
        <w:t>（6）谈判文件有违反国家其他有关强制性规定的情形。</w:t>
      </w:r>
    </w:p>
    <w:p w14:paraId="346CD2D0">
      <w:pPr>
        <w:spacing w:line="360" w:lineRule="auto"/>
        <w:ind w:firstLine="480" w:firstLineChars="200"/>
        <w:rPr>
          <w:rFonts w:ascii="宋体" w:hAnsi="宋体"/>
          <w:bCs/>
          <w:sz w:val="24"/>
        </w:rPr>
      </w:pPr>
      <w:r>
        <w:rPr>
          <w:rFonts w:hint="eastAsia" w:ascii="宋体" w:hAnsi="宋体"/>
          <w:bCs/>
          <w:sz w:val="24"/>
        </w:rPr>
        <w:t>2.1.4 出现本条2.1.2规定应当停止评审情形的，谈判小组应当向采购人书面说明情况。除本条规定的情形外，谈判小组不得以任何方式和理由停止评审。</w:t>
      </w:r>
    </w:p>
    <w:p w14:paraId="4194C01A">
      <w:pPr>
        <w:spacing w:line="360" w:lineRule="auto"/>
        <w:ind w:firstLine="480" w:firstLineChars="200"/>
        <w:rPr>
          <w:rFonts w:ascii="宋体" w:hAnsi="宋体"/>
          <w:bCs/>
          <w:sz w:val="24"/>
        </w:rPr>
      </w:pPr>
      <w:r>
        <w:rPr>
          <w:rFonts w:hint="eastAsia" w:ascii="宋体" w:hAnsi="宋体"/>
          <w:bCs/>
          <w:sz w:val="24"/>
        </w:rPr>
        <w:t>2.2 资格性审查。</w:t>
      </w:r>
    </w:p>
    <w:p w14:paraId="044D61B2">
      <w:pPr>
        <w:spacing w:line="360" w:lineRule="auto"/>
        <w:rPr>
          <w:rFonts w:ascii="宋体" w:hAnsi="宋体"/>
          <w:bCs/>
          <w:sz w:val="24"/>
        </w:rPr>
      </w:pPr>
      <w:r>
        <w:rPr>
          <w:rFonts w:hint="eastAsia" w:ascii="宋体" w:hAnsi="宋体"/>
          <w:bCs/>
          <w:sz w:val="24"/>
        </w:rPr>
        <w:t>本项目需要谈判小组进行资格性检查。</w:t>
      </w:r>
    </w:p>
    <w:p w14:paraId="16626CA8">
      <w:pPr>
        <w:spacing w:line="360" w:lineRule="auto"/>
        <w:ind w:firstLine="480" w:firstLineChars="200"/>
        <w:rPr>
          <w:rFonts w:ascii="宋体" w:hAnsi="宋体"/>
          <w:bCs/>
          <w:sz w:val="24"/>
        </w:rPr>
      </w:pPr>
      <w:r>
        <w:rPr>
          <w:rFonts w:hint="eastAsia" w:ascii="宋体" w:hAnsi="宋体"/>
          <w:bCs/>
          <w:sz w:val="24"/>
        </w:rPr>
        <w:t>2.2.1谈判小组应依据法律法规和谈判文件的规定，对响应文件是否按照规定要求提供资格性证明材料、是否属于禁止参加谈判的供应商等进行审查，以确定供应商是否具备谈判资格。</w:t>
      </w:r>
    </w:p>
    <w:p w14:paraId="2A3683B6">
      <w:pPr>
        <w:spacing w:line="360" w:lineRule="auto"/>
        <w:ind w:firstLine="480" w:firstLineChars="200"/>
        <w:rPr>
          <w:rFonts w:ascii="宋体" w:hAnsi="宋体"/>
          <w:bCs/>
          <w:sz w:val="24"/>
        </w:rPr>
      </w:pPr>
      <w:r>
        <w:rPr>
          <w:rFonts w:hint="eastAsia" w:ascii="宋体" w:hAnsi="宋体"/>
          <w:bCs/>
          <w:sz w:val="24"/>
        </w:rPr>
        <w:t>2.2.2资格性审查结束后，谈判小组应当出具资格性审查报告，没有通过资格审查的供应商，谈判小组应当在资格审查报告中说明原因。</w:t>
      </w:r>
    </w:p>
    <w:p w14:paraId="270B0093">
      <w:pPr>
        <w:spacing w:line="360" w:lineRule="auto"/>
        <w:ind w:firstLine="480" w:firstLineChars="200"/>
        <w:rPr>
          <w:rFonts w:ascii="宋体" w:hAnsi="宋体"/>
          <w:bCs/>
          <w:sz w:val="24"/>
        </w:rPr>
      </w:pPr>
      <w:r>
        <w:rPr>
          <w:rFonts w:hint="eastAsia" w:ascii="宋体" w:hAnsi="宋体"/>
          <w:bCs/>
          <w:sz w:val="24"/>
        </w:rPr>
        <w:t>2.2.3谈判小组应依据谈判文件规定的所有实质性要求，对符合资格的响应文件进行有效性、完整性和响应程度审查，以确定参加谈判的供应商名单。</w:t>
      </w:r>
    </w:p>
    <w:p w14:paraId="734A1B5C">
      <w:pPr>
        <w:spacing w:line="360" w:lineRule="auto"/>
        <w:ind w:firstLine="480" w:firstLineChars="200"/>
        <w:rPr>
          <w:rFonts w:ascii="宋体" w:hAnsi="宋体"/>
          <w:bCs/>
          <w:sz w:val="24"/>
        </w:rPr>
      </w:pPr>
      <w:r>
        <w:rPr>
          <w:rFonts w:hint="eastAsia" w:ascii="宋体" w:hAnsi="宋体"/>
          <w:bCs/>
          <w:sz w:val="24"/>
        </w:rPr>
        <w:t>2.2.4采购</w:t>
      </w:r>
      <w:r>
        <w:rPr>
          <w:rFonts w:hint="eastAsia" w:ascii="宋体" w:hAnsi="宋体"/>
          <w:bCs/>
          <w:sz w:val="24"/>
          <w:lang w:val="en-US" w:eastAsia="zh-CN"/>
        </w:rPr>
        <w:t>人</w:t>
      </w:r>
      <w:r>
        <w:rPr>
          <w:rFonts w:hint="eastAsia" w:ascii="宋体" w:hAnsi="宋体"/>
          <w:bCs/>
          <w:sz w:val="24"/>
        </w:rPr>
        <w:t>宣布未通过资格性审查的供应商名单时，应当告知供应商未通过审查的原因。</w:t>
      </w:r>
    </w:p>
    <w:p w14:paraId="1CF219FA">
      <w:pPr>
        <w:spacing w:line="360" w:lineRule="auto"/>
        <w:ind w:firstLine="480" w:firstLineChars="200"/>
        <w:rPr>
          <w:rFonts w:ascii="宋体" w:hAnsi="宋体"/>
          <w:bCs/>
          <w:sz w:val="24"/>
        </w:rPr>
      </w:pPr>
      <w:r>
        <w:rPr>
          <w:rFonts w:hint="eastAsia" w:ascii="宋体" w:hAnsi="宋体"/>
          <w:bCs/>
          <w:sz w:val="24"/>
        </w:rPr>
        <w:t>2.3通过资格性审查的供应商不足3家的，终止本次采购活动，并发布终止采购活动公告。</w:t>
      </w:r>
    </w:p>
    <w:p w14:paraId="4DAC82BE">
      <w:pPr>
        <w:spacing w:line="360" w:lineRule="auto"/>
        <w:ind w:firstLine="480" w:firstLineChars="200"/>
        <w:rPr>
          <w:rFonts w:ascii="宋体" w:hAnsi="宋体"/>
          <w:bCs/>
          <w:sz w:val="24"/>
        </w:rPr>
      </w:pPr>
      <w:r>
        <w:rPr>
          <w:rFonts w:hint="eastAsia" w:ascii="宋体" w:hAnsi="宋体"/>
          <w:bCs/>
          <w:sz w:val="24"/>
        </w:rPr>
        <w:t>2.4 谈判</w:t>
      </w:r>
    </w:p>
    <w:p w14:paraId="05405569">
      <w:pPr>
        <w:spacing w:line="360" w:lineRule="auto"/>
        <w:ind w:firstLine="480" w:firstLineChars="200"/>
        <w:rPr>
          <w:rFonts w:ascii="宋体" w:hAnsi="宋体"/>
          <w:bCs/>
          <w:sz w:val="24"/>
        </w:rPr>
      </w:pPr>
      <w:r>
        <w:rPr>
          <w:rFonts w:hint="eastAsia" w:ascii="宋体" w:hAnsi="宋体"/>
          <w:bCs/>
          <w:sz w:val="24"/>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25179CDA">
      <w:pPr>
        <w:spacing w:line="360" w:lineRule="auto"/>
        <w:ind w:firstLine="480" w:firstLineChars="200"/>
        <w:rPr>
          <w:rFonts w:ascii="宋体" w:hAnsi="宋体"/>
          <w:bCs/>
          <w:sz w:val="24"/>
        </w:rPr>
      </w:pPr>
      <w:r>
        <w:rPr>
          <w:rFonts w:hint="eastAsia" w:ascii="宋体" w:hAnsi="宋体"/>
          <w:bCs/>
          <w:sz w:val="24"/>
        </w:rPr>
        <w:t>2.4.2每轮谈判开始前，谈判小组应根据谈判文件的规定，并结合各供应商的响应文件拟定谈判内容。</w:t>
      </w:r>
    </w:p>
    <w:p w14:paraId="40313564">
      <w:pPr>
        <w:spacing w:line="360" w:lineRule="auto"/>
        <w:ind w:firstLine="480" w:firstLineChars="200"/>
        <w:rPr>
          <w:rFonts w:ascii="宋体" w:hAnsi="宋体"/>
          <w:bCs/>
          <w:sz w:val="24"/>
        </w:rPr>
      </w:pPr>
      <w:r>
        <w:rPr>
          <w:rFonts w:hint="eastAsia" w:ascii="宋体" w:hAnsi="宋体"/>
          <w:bCs/>
          <w:sz w:val="24"/>
        </w:rPr>
        <w:t>2.4.3在谈判过程中，谈判小组可以根据谈判文件和谈判情况实质性变动谈判文件的技术、服务要求以及合同草案条款，但不得变动谈判文件中的其他内容。实质性变动的内容，须经采购人代表书面确认。</w:t>
      </w:r>
    </w:p>
    <w:p w14:paraId="01DDE3FF">
      <w:pPr>
        <w:spacing w:line="360" w:lineRule="auto"/>
        <w:ind w:firstLine="480" w:firstLineChars="200"/>
        <w:rPr>
          <w:rFonts w:ascii="宋体" w:hAnsi="宋体"/>
          <w:bCs/>
          <w:sz w:val="24"/>
        </w:rPr>
      </w:pPr>
      <w:r>
        <w:rPr>
          <w:rFonts w:hint="eastAsia" w:ascii="宋体" w:hAnsi="宋体"/>
          <w:bCs/>
          <w:sz w:val="24"/>
        </w:rPr>
        <w:t>2.4.4对谈判文件作出的实质性变动是谈判文件的有效组成部分，谈判小组应当及时以书面形式同时通知所有参加谈判的供应商。</w:t>
      </w:r>
    </w:p>
    <w:p w14:paraId="16055060">
      <w:pPr>
        <w:spacing w:line="360" w:lineRule="auto"/>
        <w:ind w:firstLine="480" w:firstLineChars="200"/>
        <w:rPr>
          <w:rFonts w:ascii="宋体" w:hAnsi="宋体"/>
          <w:bCs/>
          <w:sz w:val="24"/>
        </w:rPr>
      </w:pPr>
      <w:r>
        <w:rPr>
          <w:rFonts w:hint="eastAsia" w:ascii="宋体" w:hAnsi="宋体"/>
          <w:bCs/>
          <w:sz w:val="24"/>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7AD7F33C">
      <w:pPr>
        <w:spacing w:line="360" w:lineRule="auto"/>
        <w:ind w:firstLine="480" w:firstLineChars="200"/>
        <w:rPr>
          <w:rFonts w:ascii="宋体" w:hAnsi="宋体"/>
          <w:bCs/>
          <w:sz w:val="24"/>
        </w:rPr>
      </w:pPr>
      <w:r>
        <w:rPr>
          <w:rFonts w:hint="eastAsia" w:ascii="宋体" w:hAnsi="宋体"/>
          <w:bCs/>
          <w:sz w:val="24"/>
        </w:rPr>
        <w:t>2.4.6谈判过程中，谈判的任何一方不得透露与谈判有关的其他供应商的技术资料、价格和其他信息。</w:t>
      </w:r>
    </w:p>
    <w:p w14:paraId="6B25F183">
      <w:pPr>
        <w:spacing w:line="360" w:lineRule="auto"/>
        <w:ind w:firstLine="480" w:firstLineChars="200"/>
        <w:rPr>
          <w:rFonts w:ascii="宋体" w:hAnsi="宋体"/>
          <w:bCs/>
          <w:sz w:val="24"/>
        </w:rPr>
      </w:pPr>
      <w:r>
        <w:rPr>
          <w:rFonts w:hint="eastAsia" w:ascii="宋体" w:hAnsi="宋体"/>
          <w:bCs/>
          <w:sz w:val="24"/>
        </w:rPr>
        <w:t>2.4.7谈判过程中，谈判小组发现或者知晓供应商存在违法、违纪行为的，谈判小组应当将该供应商淘汰，不允许其提交最后报价。</w:t>
      </w:r>
    </w:p>
    <w:p w14:paraId="6868D1F5">
      <w:pPr>
        <w:spacing w:line="360" w:lineRule="auto"/>
        <w:ind w:firstLine="480" w:firstLineChars="200"/>
        <w:rPr>
          <w:rFonts w:ascii="宋体" w:hAnsi="宋体"/>
          <w:b/>
          <w:sz w:val="24"/>
        </w:rPr>
      </w:pPr>
      <w:r>
        <w:rPr>
          <w:rFonts w:hint="eastAsia" w:ascii="宋体" w:hAnsi="宋体"/>
          <w:bCs/>
          <w:sz w:val="24"/>
        </w:rPr>
        <w:t>2.4.8谈判完成后，谈判小组应出具谈判情况记录表，谈判情况记录表需包含谈判内容、谈判意见、实质性变动内容等。</w:t>
      </w:r>
      <w:r>
        <w:rPr>
          <w:rFonts w:hint="eastAsia" w:ascii="宋体" w:hAnsi="宋体"/>
          <w:b/>
          <w:sz w:val="24"/>
        </w:rPr>
        <w:t xml:space="preserve">   </w:t>
      </w:r>
    </w:p>
    <w:p w14:paraId="0A9BAD2C">
      <w:pPr>
        <w:spacing w:line="360" w:lineRule="auto"/>
        <w:ind w:firstLine="482" w:firstLineChars="200"/>
        <w:rPr>
          <w:rFonts w:ascii="宋体" w:hAnsi="宋体"/>
          <w:sz w:val="24"/>
        </w:rPr>
      </w:pPr>
      <w:r>
        <w:rPr>
          <w:rFonts w:hint="eastAsia" w:ascii="宋体" w:hAnsi="宋体"/>
          <w:b/>
          <w:sz w:val="24"/>
        </w:rPr>
        <w:t>2.5</w:t>
      </w:r>
      <w:r>
        <w:rPr>
          <w:rFonts w:hint="eastAsia" w:ascii="宋体" w:hAnsi="宋体"/>
          <w:sz w:val="24"/>
        </w:rPr>
        <w:t>最后报价。</w:t>
      </w:r>
    </w:p>
    <w:p w14:paraId="4D1EA8A2">
      <w:pPr>
        <w:spacing w:line="360" w:lineRule="auto"/>
        <w:ind w:firstLine="480" w:firstLineChars="200"/>
        <w:rPr>
          <w:rFonts w:ascii="宋体" w:hAnsi="宋体"/>
          <w:sz w:val="24"/>
        </w:rPr>
      </w:pPr>
      <w:r>
        <w:rPr>
          <w:rFonts w:hint="eastAsia" w:ascii="宋体" w:hAnsi="宋体"/>
          <w:sz w:val="24"/>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5AC467E">
      <w:pPr>
        <w:spacing w:line="360" w:lineRule="auto"/>
        <w:ind w:firstLine="480" w:firstLineChars="200"/>
        <w:rPr>
          <w:rFonts w:ascii="宋体" w:hAnsi="宋体"/>
          <w:sz w:val="24"/>
        </w:rPr>
      </w:pPr>
      <w:r>
        <w:rPr>
          <w:rFonts w:hint="eastAsia" w:ascii="宋体" w:hAnsi="宋体"/>
          <w:sz w:val="24"/>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14:paraId="45B81C91">
      <w:pPr>
        <w:spacing w:line="360" w:lineRule="auto"/>
        <w:ind w:firstLine="480" w:firstLineChars="200"/>
        <w:rPr>
          <w:rFonts w:ascii="宋体" w:hAnsi="宋体"/>
          <w:sz w:val="24"/>
        </w:rPr>
      </w:pPr>
      <w:r>
        <w:rPr>
          <w:rFonts w:hint="eastAsia" w:ascii="宋体" w:hAnsi="宋体"/>
          <w:sz w:val="24"/>
        </w:rPr>
        <w:t>2.5.3供应商最后报价应当由法定代表人/主要负责人/本人或其授权代表签字确认或加盖公章。最后报价是供应商响应文件的有效组成部分。</w:t>
      </w:r>
    </w:p>
    <w:p w14:paraId="03A65352">
      <w:pPr>
        <w:spacing w:line="360" w:lineRule="auto"/>
        <w:ind w:firstLine="480" w:firstLineChars="200"/>
        <w:rPr>
          <w:rFonts w:ascii="宋体" w:hAnsi="宋体"/>
          <w:sz w:val="24"/>
        </w:rPr>
      </w:pPr>
      <w:r>
        <w:rPr>
          <w:rFonts w:hint="eastAsia" w:ascii="宋体" w:hAnsi="宋体"/>
          <w:sz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8B5B077">
      <w:pPr>
        <w:spacing w:line="360" w:lineRule="auto"/>
        <w:ind w:firstLine="480" w:firstLineChars="200"/>
        <w:rPr>
          <w:rFonts w:ascii="宋体" w:hAnsi="宋体"/>
          <w:sz w:val="24"/>
        </w:rPr>
      </w:pPr>
      <w:r>
        <w:rPr>
          <w:rFonts w:hint="eastAsia" w:ascii="宋体" w:hAnsi="宋体"/>
          <w:sz w:val="24"/>
        </w:rPr>
        <w:t>2.6 谈判小组复核。供应商最后报价结束后，谈判小组应当进行评审复核，对拟推荐为成交候选供应商的、报价最低的、供应商资格审查未通过的、供应商响应文件作无效处理的重点复核。</w:t>
      </w:r>
    </w:p>
    <w:p w14:paraId="6184A671">
      <w:pPr>
        <w:spacing w:line="360" w:lineRule="auto"/>
        <w:ind w:firstLine="480" w:firstLineChars="200"/>
        <w:rPr>
          <w:rFonts w:ascii="宋体" w:hAnsi="宋体"/>
          <w:sz w:val="24"/>
        </w:rPr>
      </w:pPr>
      <w:r>
        <w:rPr>
          <w:rFonts w:hint="eastAsia" w:ascii="宋体" w:hAnsi="宋体"/>
          <w:sz w:val="24"/>
        </w:rPr>
        <w:t>2.7推荐成交候选供应商。谈判小组复核后，应当按照供应商的报价由低到高顺序推荐3家以上成交候选供应商，并编写谈判报告。供应商报价相同的，成交候选供应商并列，由采购人自主采取公平择优的方式选择成交供应商。</w:t>
      </w:r>
    </w:p>
    <w:p w14:paraId="3D07E1B8">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8</w:t>
      </w:r>
      <w:r>
        <w:rPr>
          <w:rFonts w:hint="eastAsia" w:ascii="宋体" w:hAnsi="宋体"/>
          <w:sz w:val="24"/>
        </w:rPr>
        <w:t>编写谈判报告。谈判小组推荐成交候选供应商后，应向采购</w:t>
      </w:r>
      <w:r>
        <w:rPr>
          <w:rFonts w:hint="eastAsia" w:ascii="宋体" w:hAnsi="宋体"/>
          <w:sz w:val="24"/>
          <w:lang w:val="en-US" w:eastAsia="zh-CN"/>
        </w:rPr>
        <w:t>人</w:t>
      </w:r>
      <w:r>
        <w:rPr>
          <w:rFonts w:hint="eastAsia" w:ascii="宋体" w:hAnsi="宋体"/>
          <w:sz w:val="24"/>
        </w:rPr>
        <w:t>出具谈判报告。谈判报告应当包括以下主要内容：</w:t>
      </w:r>
    </w:p>
    <w:p w14:paraId="169383CD">
      <w:pPr>
        <w:spacing w:line="360" w:lineRule="auto"/>
        <w:ind w:firstLine="480" w:firstLineChars="200"/>
        <w:rPr>
          <w:rFonts w:ascii="宋体" w:hAnsi="宋体"/>
          <w:sz w:val="24"/>
        </w:rPr>
      </w:pPr>
      <w:r>
        <w:rPr>
          <w:rFonts w:hint="eastAsia" w:ascii="宋体" w:hAnsi="宋体"/>
          <w:sz w:val="24"/>
        </w:rPr>
        <w:t>（1）邀请供应商参加采购活动的具体方式和相关情况，以及参加采购活动的供应商名单；</w:t>
      </w:r>
    </w:p>
    <w:p w14:paraId="56ABE2A1">
      <w:pPr>
        <w:spacing w:line="360" w:lineRule="auto"/>
        <w:ind w:firstLine="480" w:firstLineChars="200"/>
        <w:rPr>
          <w:rFonts w:ascii="宋体" w:hAnsi="宋体"/>
          <w:sz w:val="24"/>
        </w:rPr>
      </w:pPr>
      <w:r>
        <w:rPr>
          <w:rFonts w:hint="eastAsia" w:ascii="宋体" w:hAnsi="宋体"/>
          <w:sz w:val="24"/>
        </w:rPr>
        <w:t>（2）评审日期和地点，谈判小组、询价小组成员名单；</w:t>
      </w:r>
    </w:p>
    <w:p w14:paraId="62E28B41">
      <w:pPr>
        <w:spacing w:line="360" w:lineRule="auto"/>
        <w:ind w:firstLine="480" w:firstLineChars="200"/>
        <w:rPr>
          <w:rFonts w:ascii="宋体" w:hAnsi="宋体"/>
          <w:sz w:val="24"/>
        </w:rPr>
      </w:pPr>
      <w:r>
        <w:rPr>
          <w:rFonts w:hint="eastAsia" w:ascii="宋体" w:hAnsi="宋体"/>
          <w:sz w:val="24"/>
        </w:rPr>
        <w:t>（3）评审情况记录和说明，包括对供应商的资格审查情况、供应商响应文件审查情况、谈判情况、报价情况等；</w:t>
      </w:r>
    </w:p>
    <w:p w14:paraId="78E6F7BA">
      <w:pPr>
        <w:spacing w:line="360" w:lineRule="auto"/>
        <w:ind w:firstLine="480" w:firstLineChars="200"/>
        <w:rPr>
          <w:rFonts w:ascii="宋体" w:hAnsi="宋体"/>
          <w:sz w:val="24"/>
        </w:rPr>
      </w:pPr>
      <w:r>
        <w:rPr>
          <w:rFonts w:hint="eastAsia" w:ascii="宋体" w:hAnsi="宋体"/>
          <w:sz w:val="24"/>
        </w:rPr>
        <w:t>（4）推荐的成交候选人的名单及理由。</w:t>
      </w:r>
    </w:p>
    <w:p w14:paraId="29B4A212">
      <w:pPr>
        <w:spacing w:line="360" w:lineRule="auto"/>
        <w:ind w:firstLine="480" w:firstLineChars="200"/>
        <w:rPr>
          <w:rFonts w:ascii="宋体" w:hAnsi="宋体"/>
          <w:sz w:val="24"/>
        </w:rPr>
      </w:pPr>
      <w:r>
        <w:rPr>
          <w:rFonts w:hint="eastAsia" w:ascii="宋体" w:hAnsi="宋体"/>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2AAFE43F">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9</w:t>
      </w:r>
      <w:r>
        <w:rPr>
          <w:rFonts w:hint="eastAsia" w:ascii="宋体" w:hAnsi="宋体"/>
          <w:sz w:val="24"/>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2EB19C63">
      <w:pPr>
        <w:spacing w:line="360" w:lineRule="auto"/>
        <w:ind w:firstLine="480" w:firstLineChars="200"/>
        <w:rPr>
          <w:rFonts w:ascii="宋体" w:hAnsi="宋体"/>
          <w:sz w:val="24"/>
        </w:rPr>
      </w:pPr>
      <w:r>
        <w:rPr>
          <w:rFonts w:hint="eastAsia" w:ascii="宋体" w:hAnsi="宋体"/>
          <w:sz w:val="24"/>
        </w:rPr>
        <w:t>2.1</w:t>
      </w:r>
      <w:r>
        <w:rPr>
          <w:rFonts w:hint="eastAsia" w:ascii="宋体" w:hAnsi="宋体"/>
          <w:sz w:val="24"/>
          <w:lang w:val="en-US" w:eastAsia="zh-CN"/>
        </w:rPr>
        <w:t>0</w:t>
      </w:r>
      <w:r>
        <w:rPr>
          <w:rFonts w:hint="eastAsia" w:ascii="宋体" w:hAnsi="宋体"/>
          <w:sz w:val="24"/>
        </w:rPr>
        <w:t>供应商澄清、说明</w:t>
      </w:r>
    </w:p>
    <w:p w14:paraId="7D718115">
      <w:pPr>
        <w:spacing w:line="360" w:lineRule="auto"/>
        <w:ind w:firstLine="480" w:firstLineChars="200"/>
        <w:rPr>
          <w:rFonts w:ascii="宋体" w:hAnsi="宋体"/>
          <w:sz w:val="24"/>
        </w:rPr>
      </w:pPr>
      <w:r>
        <w:rPr>
          <w:rFonts w:hint="eastAsia" w:ascii="宋体" w:hAnsi="宋体"/>
          <w:sz w:val="24"/>
        </w:rPr>
        <w:t>2.1</w:t>
      </w:r>
      <w:r>
        <w:rPr>
          <w:rFonts w:hint="eastAsia" w:ascii="宋体" w:hAnsi="宋体"/>
          <w:sz w:val="24"/>
          <w:lang w:val="en-US" w:eastAsia="zh-CN"/>
        </w:rPr>
        <w:t>0</w:t>
      </w:r>
      <w:r>
        <w:rPr>
          <w:rFonts w:hint="eastAsia" w:ascii="宋体" w:hAnsi="宋体"/>
          <w:sz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295360">
      <w:pPr>
        <w:spacing w:line="360" w:lineRule="auto"/>
        <w:ind w:firstLine="480" w:firstLineChars="200"/>
        <w:rPr>
          <w:rFonts w:ascii="宋体" w:hAnsi="宋体"/>
          <w:sz w:val="24"/>
        </w:rPr>
      </w:pPr>
      <w:r>
        <w:rPr>
          <w:rFonts w:hint="eastAsia" w:ascii="宋体" w:hAnsi="宋体"/>
          <w:sz w:val="24"/>
        </w:rPr>
        <w:t>2.1</w:t>
      </w:r>
      <w:r>
        <w:rPr>
          <w:rFonts w:hint="eastAsia" w:ascii="宋体" w:hAnsi="宋体"/>
          <w:sz w:val="24"/>
          <w:lang w:val="en-US" w:eastAsia="zh-CN"/>
        </w:rPr>
        <w:t>0</w:t>
      </w:r>
      <w:r>
        <w:rPr>
          <w:rFonts w:hint="eastAsia" w:ascii="宋体" w:hAnsi="宋体"/>
          <w:sz w:val="24"/>
        </w:rPr>
        <w:t>.2谈判小组要求供应商澄清、说明或者更正响应文件应当以书面形式作出。供应商的澄清、说明或者更正应当由法定代表人/主要负责人/本人或其授权代表签字或者加盖公章。</w:t>
      </w:r>
    </w:p>
    <w:p w14:paraId="4E605D55">
      <w:pPr>
        <w:spacing w:line="360" w:lineRule="auto"/>
        <w:ind w:firstLine="480" w:firstLineChars="200"/>
        <w:rPr>
          <w:rFonts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终止谈判采购活动。</w:t>
      </w:r>
    </w:p>
    <w:p w14:paraId="20B6E525">
      <w:pPr>
        <w:spacing w:line="360" w:lineRule="auto"/>
        <w:ind w:firstLine="480" w:firstLineChars="200"/>
        <w:rPr>
          <w:rFonts w:ascii="宋体" w:hAnsi="宋体"/>
          <w:sz w:val="24"/>
        </w:rPr>
      </w:pPr>
      <w:r>
        <w:rPr>
          <w:rFonts w:hint="eastAsia" w:ascii="宋体" w:hAnsi="宋体"/>
          <w:sz w:val="24"/>
        </w:rPr>
        <w:t>出现下列情形之一的，采购人应当终止竞争性谈判采购活动，发布项目终止公告并说明原因，重新开展采购活动：</w:t>
      </w:r>
    </w:p>
    <w:p w14:paraId="21796D35">
      <w:pPr>
        <w:spacing w:line="360" w:lineRule="auto"/>
        <w:ind w:firstLine="480" w:firstLineChars="200"/>
        <w:rPr>
          <w:rFonts w:ascii="宋体" w:hAnsi="宋体"/>
          <w:sz w:val="24"/>
        </w:rPr>
      </w:pPr>
      <w:r>
        <w:rPr>
          <w:rFonts w:hint="eastAsia" w:ascii="宋体" w:hAnsi="宋体"/>
          <w:sz w:val="24"/>
        </w:rPr>
        <w:t>（1）因情况变化，不再符合规定的竞争性谈判采购方式适用情形的；</w:t>
      </w:r>
    </w:p>
    <w:p w14:paraId="78A12BE0">
      <w:pPr>
        <w:spacing w:line="360" w:lineRule="auto"/>
        <w:ind w:firstLine="480" w:firstLineChars="200"/>
        <w:rPr>
          <w:rFonts w:ascii="宋体" w:hAnsi="宋体"/>
          <w:sz w:val="24"/>
        </w:rPr>
      </w:pPr>
      <w:r>
        <w:rPr>
          <w:rFonts w:hint="eastAsia" w:ascii="宋体" w:hAnsi="宋体"/>
          <w:sz w:val="24"/>
        </w:rPr>
        <w:t>（2）出现影响采购公正的违法、违规行为的；</w:t>
      </w:r>
    </w:p>
    <w:p w14:paraId="4C85F393">
      <w:pPr>
        <w:spacing w:line="360" w:lineRule="auto"/>
        <w:ind w:firstLine="480" w:firstLineChars="200"/>
        <w:rPr>
          <w:rFonts w:ascii="宋体" w:hAnsi="宋体"/>
          <w:sz w:val="24"/>
        </w:rPr>
      </w:pPr>
      <w:r>
        <w:rPr>
          <w:rFonts w:hint="eastAsia" w:ascii="宋体" w:hAnsi="宋体"/>
          <w:sz w:val="24"/>
        </w:rPr>
        <w:t>（3）在采购过程中符合要求的供应商或者报价未超过采购预算的供应商不足3家的。</w:t>
      </w:r>
    </w:p>
    <w:p w14:paraId="2D4F5E20">
      <w:pPr>
        <w:spacing w:line="360" w:lineRule="auto"/>
        <w:rPr>
          <w:rFonts w:ascii="宋体" w:hAnsi="宋体"/>
          <w:b/>
          <w:sz w:val="24"/>
        </w:rPr>
      </w:pPr>
      <w:r>
        <w:rPr>
          <w:rFonts w:hint="eastAsia" w:ascii="宋体" w:hAnsi="宋体"/>
          <w:b/>
          <w:sz w:val="24"/>
        </w:rPr>
        <w:t>3．谈判纪律及注意事项</w:t>
      </w:r>
    </w:p>
    <w:p w14:paraId="5FD87FA9">
      <w:pPr>
        <w:spacing w:line="360" w:lineRule="auto"/>
        <w:ind w:firstLine="480" w:firstLineChars="200"/>
        <w:rPr>
          <w:rFonts w:ascii="宋体" w:hAnsi="宋体"/>
          <w:sz w:val="24"/>
        </w:rPr>
      </w:pPr>
      <w:r>
        <w:rPr>
          <w:rFonts w:hint="eastAsia" w:ascii="宋体" w:hAnsi="宋体"/>
          <w:sz w:val="24"/>
        </w:rPr>
        <w:t>3.1谈判小组内部讨论的情况和意见必须保密，任何人不得以任何形式透露给供应商或与供应商有关的单位或个人。</w:t>
      </w:r>
    </w:p>
    <w:p w14:paraId="4B4905B7">
      <w:pPr>
        <w:spacing w:line="360" w:lineRule="auto"/>
        <w:ind w:firstLine="480" w:firstLineChars="200"/>
        <w:rPr>
          <w:rFonts w:ascii="宋体" w:hAnsi="宋体"/>
          <w:sz w:val="24"/>
        </w:rPr>
      </w:pPr>
      <w:r>
        <w:rPr>
          <w:rFonts w:hint="eastAsia" w:ascii="宋体" w:hAnsi="宋体"/>
          <w:sz w:val="24"/>
        </w:rPr>
        <w:t>3.2在谈判过程中，供应商不得以任何形式对谈判小组成员进行旨在影响谈判结果的私下接触，否则将取消其参与谈判的资格。</w:t>
      </w:r>
    </w:p>
    <w:p w14:paraId="421087A1">
      <w:pPr>
        <w:spacing w:line="360" w:lineRule="auto"/>
        <w:ind w:firstLine="480" w:firstLineChars="200"/>
        <w:rPr>
          <w:rFonts w:ascii="宋体" w:hAnsi="宋体"/>
          <w:sz w:val="24"/>
        </w:rPr>
      </w:pPr>
      <w:r>
        <w:rPr>
          <w:rFonts w:hint="eastAsia" w:ascii="宋体" w:hAnsi="宋体"/>
          <w:sz w:val="24"/>
        </w:rPr>
        <w:t>3.3对各供应商的商业秘密，谈判小组成员应予以保密，不得泄露给其他供应商。</w:t>
      </w:r>
    </w:p>
    <w:p w14:paraId="7C53B899">
      <w:pPr>
        <w:spacing w:line="360" w:lineRule="auto"/>
        <w:ind w:firstLine="480" w:firstLineChars="200"/>
        <w:rPr>
          <w:rFonts w:ascii="宋体" w:hAnsi="宋体"/>
          <w:sz w:val="24"/>
        </w:rPr>
      </w:pPr>
      <w:r>
        <w:rPr>
          <w:rFonts w:hint="eastAsia" w:ascii="宋体" w:hAnsi="宋体"/>
          <w:sz w:val="24"/>
        </w:rPr>
        <w:t>3.4谈判小组独立评判，推荐成交候选人，并写出书面报告。</w:t>
      </w:r>
    </w:p>
    <w:p w14:paraId="1E87B705">
      <w:pPr>
        <w:spacing w:line="360" w:lineRule="auto"/>
        <w:ind w:firstLine="480" w:firstLineChars="200"/>
        <w:rPr>
          <w:rFonts w:ascii="宋体" w:hAnsi="宋体"/>
          <w:sz w:val="24"/>
        </w:rPr>
      </w:pPr>
      <w:r>
        <w:rPr>
          <w:rFonts w:hint="eastAsia" w:ascii="宋体" w:hAnsi="宋体"/>
          <w:sz w:val="24"/>
        </w:rPr>
        <w:t>3.5谈判小组可根据需要对供应商进行实地考察。</w:t>
      </w:r>
    </w:p>
    <w:p w14:paraId="256E9935">
      <w:pPr>
        <w:spacing w:line="360" w:lineRule="auto"/>
        <w:rPr>
          <w:rFonts w:ascii="宋体" w:hAnsi="宋体"/>
          <w:b/>
          <w:bCs/>
          <w:sz w:val="24"/>
        </w:rPr>
      </w:pPr>
      <w:r>
        <w:rPr>
          <w:rFonts w:hint="eastAsia" w:ascii="宋体" w:hAnsi="宋体"/>
          <w:b/>
          <w:bCs/>
          <w:sz w:val="24"/>
        </w:rPr>
        <w:t>4.确定成交供应商</w:t>
      </w:r>
    </w:p>
    <w:p w14:paraId="10246A7F">
      <w:pPr>
        <w:spacing w:line="360" w:lineRule="auto"/>
        <w:ind w:firstLine="480" w:firstLineChars="200"/>
        <w:rPr>
          <w:rFonts w:ascii="宋体" w:hAnsi="宋体"/>
          <w:sz w:val="24"/>
        </w:rPr>
      </w:pPr>
      <w:r>
        <w:rPr>
          <w:rFonts w:hint="eastAsia" w:ascii="宋体" w:hAnsi="宋体"/>
          <w:sz w:val="24"/>
        </w:rPr>
        <w:t>4.1 采购</w:t>
      </w:r>
      <w:r>
        <w:rPr>
          <w:rFonts w:hint="eastAsia" w:ascii="宋体" w:hAnsi="宋体"/>
          <w:sz w:val="24"/>
          <w:lang w:val="en-US" w:eastAsia="zh-CN"/>
        </w:rPr>
        <w:t>人</w:t>
      </w:r>
      <w:r>
        <w:rPr>
          <w:rFonts w:hint="eastAsia" w:ascii="宋体" w:hAnsi="宋体"/>
          <w:sz w:val="24"/>
        </w:rPr>
        <w:t>应当在评审结束后2个工作日内</w:t>
      </w:r>
      <w:r>
        <w:rPr>
          <w:rFonts w:hint="eastAsia" w:ascii="宋体" w:hAnsi="宋体"/>
          <w:sz w:val="24"/>
          <w:lang w:val="en-US" w:eastAsia="zh-CN"/>
        </w:rPr>
        <w:t>完成评审报告复核</w:t>
      </w:r>
      <w:r>
        <w:rPr>
          <w:rFonts w:hint="eastAsia" w:ascii="宋体" w:hAnsi="宋体"/>
          <w:sz w:val="24"/>
        </w:rPr>
        <w:t>；</w:t>
      </w:r>
      <w:bookmarkStart w:id="205" w:name="_Toc430773925"/>
      <w:bookmarkStart w:id="206" w:name="_Toc101174147"/>
      <w:bookmarkStart w:id="207" w:name="_Toc101250642"/>
      <w:bookmarkStart w:id="208" w:name="_Toc101338360"/>
      <w:bookmarkStart w:id="209" w:name="_Toc209847066"/>
    </w:p>
    <w:p w14:paraId="304C1056">
      <w:pPr>
        <w:spacing w:line="360" w:lineRule="auto"/>
        <w:ind w:firstLine="480" w:firstLineChars="200"/>
        <w:rPr>
          <w:rFonts w:ascii="宋体" w:hAnsi="宋体"/>
          <w:sz w:val="24"/>
        </w:rPr>
      </w:pPr>
      <w:r>
        <w:rPr>
          <w:rFonts w:hint="eastAsia" w:ascii="宋体" w:hAnsi="宋体"/>
          <w:sz w:val="24"/>
        </w:rPr>
        <w:t>4.2 采购人应当在评审报告后5个工作日内，从评审报告提出的成交候选人中，根据质量和服务均能满足</w:t>
      </w:r>
      <w:r>
        <w:rPr>
          <w:rFonts w:hint="eastAsia" w:ascii="宋体" w:hAnsi="宋体"/>
          <w:bCs/>
          <w:sz w:val="24"/>
        </w:rPr>
        <w:t>谈判</w:t>
      </w:r>
      <w:r>
        <w:rPr>
          <w:rFonts w:hint="eastAsia" w:ascii="宋体" w:hAnsi="宋体"/>
          <w:sz w:val="24"/>
        </w:rPr>
        <w:t>文件实质性响应要求且最后报价最低的原则确定成交供应商。</w:t>
      </w:r>
      <w:bookmarkEnd w:id="205"/>
      <w:bookmarkEnd w:id="206"/>
      <w:bookmarkEnd w:id="207"/>
      <w:bookmarkEnd w:id="208"/>
      <w:bookmarkEnd w:id="209"/>
    </w:p>
    <w:p w14:paraId="67801E8C">
      <w:pPr>
        <w:spacing w:line="360" w:lineRule="auto"/>
        <w:rPr>
          <w:rFonts w:ascii="宋体" w:hAnsi="宋体"/>
          <w:b/>
          <w:bCs/>
          <w:sz w:val="24"/>
        </w:rPr>
      </w:pPr>
      <w:r>
        <w:rPr>
          <w:rFonts w:hint="eastAsia" w:ascii="宋体" w:hAnsi="宋体"/>
          <w:b/>
          <w:bCs/>
          <w:sz w:val="24"/>
        </w:rPr>
        <w:t>5.成交通知书</w:t>
      </w:r>
    </w:p>
    <w:p w14:paraId="45962266">
      <w:pPr>
        <w:spacing w:line="360" w:lineRule="auto"/>
        <w:ind w:firstLine="480" w:firstLineChars="200"/>
        <w:rPr>
          <w:rFonts w:ascii="宋体" w:hAnsi="宋体"/>
          <w:sz w:val="24"/>
        </w:rPr>
      </w:pPr>
      <w:r>
        <w:rPr>
          <w:rFonts w:hint="eastAsia" w:ascii="宋体" w:hAnsi="宋体"/>
          <w:sz w:val="24"/>
        </w:rPr>
        <w:t>5.1 成交通知书为签订采购合同的依据之一，是合同的有效组成部分。</w:t>
      </w:r>
    </w:p>
    <w:p w14:paraId="41B0CA10">
      <w:pPr>
        <w:spacing w:line="360" w:lineRule="auto"/>
        <w:ind w:firstLine="480" w:firstLineChars="200"/>
        <w:rPr>
          <w:rFonts w:ascii="宋体" w:hAnsi="宋体"/>
          <w:sz w:val="24"/>
        </w:rPr>
      </w:pPr>
      <w:r>
        <w:rPr>
          <w:rFonts w:hint="eastAsia" w:ascii="宋体" w:hAnsi="宋体"/>
          <w:sz w:val="24"/>
        </w:rPr>
        <w:t>5.2 采购人按符合采购需求的合格供应商确定成交供应商，确定成交供应商后2个工作日内，采购</w:t>
      </w:r>
      <w:r>
        <w:rPr>
          <w:rFonts w:hint="eastAsia" w:ascii="宋体" w:hAnsi="宋体"/>
          <w:sz w:val="24"/>
          <w:lang w:val="en-US" w:eastAsia="zh-CN"/>
        </w:rPr>
        <w:t>人在成都市第二中学官方网站</w:t>
      </w:r>
      <w:r>
        <w:rPr>
          <w:rFonts w:hint="eastAsia" w:ascii="宋体" w:hAnsi="宋体"/>
          <w:sz w:val="24"/>
        </w:rPr>
        <w:t>上公示成交结果</w:t>
      </w:r>
      <w:r>
        <w:rPr>
          <w:rFonts w:hint="eastAsia" w:ascii="宋体" w:hAnsi="宋体"/>
          <w:sz w:val="24"/>
          <w:lang w:val="en-US" w:eastAsia="zh-CN"/>
        </w:rPr>
        <w:t>并告知中标单位相关情况</w:t>
      </w:r>
      <w:r>
        <w:rPr>
          <w:rFonts w:hint="eastAsia" w:ascii="宋体" w:hAnsi="宋体"/>
          <w:sz w:val="24"/>
        </w:rPr>
        <w:t>。</w:t>
      </w:r>
    </w:p>
    <w:p w14:paraId="4E43C8B1">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14:paraId="625FAB6C">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4 采购人不对成交或未成交原因作出解释，也不退还响应文件。</w:t>
      </w:r>
    </w:p>
    <w:p w14:paraId="2A52302F">
      <w:pPr>
        <w:spacing w:line="360" w:lineRule="auto"/>
        <w:rPr>
          <w:rFonts w:ascii="宋体" w:hAnsi="宋体"/>
          <w:b/>
          <w:sz w:val="24"/>
        </w:rPr>
      </w:pPr>
      <w:r>
        <w:rPr>
          <w:rFonts w:hint="eastAsia" w:ascii="宋体" w:hAnsi="宋体"/>
          <w:b/>
          <w:sz w:val="24"/>
        </w:rPr>
        <w:t>6.谈判小组在采购活动中承担以下义务：</w:t>
      </w:r>
    </w:p>
    <w:p w14:paraId="74B899B3">
      <w:pPr>
        <w:spacing w:line="360" w:lineRule="auto"/>
        <w:ind w:firstLine="480" w:firstLineChars="200"/>
        <w:rPr>
          <w:rFonts w:ascii="宋体" w:hAnsi="宋体"/>
          <w:sz w:val="24"/>
        </w:rPr>
      </w:pPr>
      <w:r>
        <w:rPr>
          <w:rFonts w:hint="eastAsia" w:ascii="宋体" w:hAnsi="宋体"/>
          <w:sz w:val="24"/>
        </w:rPr>
        <w:t>（一）遵守评审工作纪律；</w:t>
      </w:r>
    </w:p>
    <w:p w14:paraId="20C401D5">
      <w:pPr>
        <w:spacing w:line="360" w:lineRule="auto"/>
        <w:ind w:firstLine="480" w:firstLineChars="200"/>
        <w:rPr>
          <w:rFonts w:ascii="宋体" w:hAnsi="宋体"/>
          <w:sz w:val="24"/>
        </w:rPr>
      </w:pPr>
      <w:r>
        <w:rPr>
          <w:rFonts w:hint="eastAsia" w:ascii="宋体" w:hAnsi="宋体"/>
          <w:sz w:val="24"/>
        </w:rPr>
        <w:t>（二）按照客观、公正、审慎的原则，根据谈判文件规定的评审程序、评审方法和评审标准进行独立评审；</w:t>
      </w:r>
    </w:p>
    <w:p w14:paraId="466BD257">
      <w:pPr>
        <w:spacing w:line="360" w:lineRule="auto"/>
        <w:ind w:firstLine="480" w:firstLineChars="200"/>
        <w:rPr>
          <w:rFonts w:ascii="宋体" w:hAnsi="宋体"/>
          <w:sz w:val="24"/>
        </w:rPr>
      </w:pPr>
      <w:r>
        <w:rPr>
          <w:rFonts w:hint="eastAsia" w:ascii="宋体" w:hAnsi="宋体"/>
          <w:sz w:val="24"/>
        </w:rPr>
        <w:t>（三）不得泄露评审文件、评审情况和在评审过程中获悉的商业秘密；</w:t>
      </w:r>
    </w:p>
    <w:p w14:paraId="57CD2856">
      <w:pPr>
        <w:spacing w:line="360" w:lineRule="auto"/>
        <w:ind w:firstLine="480" w:firstLineChars="200"/>
        <w:rPr>
          <w:rFonts w:ascii="宋体" w:hAnsi="宋体"/>
          <w:sz w:val="24"/>
        </w:rPr>
      </w:pPr>
      <w:r>
        <w:rPr>
          <w:rFonts w:hint="eastAsia" w:ascii="宋体" w:hAnsi="宋体"/>
          <w:sz w:val="24"/>
        </w:rPr>
        <w:t>（四）及时向财政部门报告评审过程中发现的采购人向评审专家做倾向性、误导性的解释或者说明，以及供应商行贿、提供虚假材料或者串通等违法行为；</w:t>
      </w:r>
    </w:p>
    <w:p w14:paraId="30D32908">
      <w:pPr>
        <w:spacing w:line="360" w:lineRule="auto"/>
        <w:ind w:firstLine="480" w:firstLineChars="200"/>
        <w:rPr>
          <w:rFonts w:ascii="宋体" w:hAnsi="宋体"/>
          <w:sz w:val="24"/>
        </w:rPr>
      </w:pPr>
      <w:r>
        <w:rPr>
          <w:rFonts w:hint="eastAsia" w:ascii="宋体" w:hAnsi="宋体"/>
          <w:sz w:val="24"/>
        </w:rPr>
        <w:t>（五）发现谈判文件内容违反国家有关强制性规定或者谈判文件存在歧义、重大缺陷导致评审工作无法进行时，停止评审并向采购人说明情况；</w:t>
      </w:r>
    </w:p>
    <w:p w14:paraId="33D78911">
      <w:pPr>
        <w:spacing w:line="360" w:lineRule="auto"/>
        <w:ind w:firstLine="480" w:firstLineChars="200"/>
        <w:rPr>
          <w:rFonts w:ascii="宋体" w:hAnsi="宋体"/>
          <w:sz w:val="24"/>
        </w:rPr>
      </w:pPr>
      <w:r>
        <w:rPr>
          <w:rFonts w:hint="eastAsia" w:ascii="宋体" w:hAnsi="宋体"/>
          <w:sz w:val="24"/>
        </w:rPr>
        <w:t>（六）及时向财政、监察等部门举报在评审过程中受到非法干预的情况；</w:t>
      </w:r>
    </w:p>
    <w:p w14:paraId="621246AB">
      <w:pPr>
        <w:spacing w:line="360" w:lineRule="auto"/>
        <w:ind w:firstLine="480" w:firstLineChars="200"/>
        <w:rPr>
          <w:rFonts w:ascii="宋体" w:hAnsi="宋体"/>
          <w:sz w:val="24"/>
        </w:rPr>
      </w:pPr>
      <w:r>
        <w:rPr>
          <w:rFonts w:hint="eastAsia" w:ascii="宋体" w:hAnsi="宋体"/>
          <w:sz w:val="24"/>
        </w:rPr>
        <w:t>（七）配合答复处理供应商的询问、质疑和投诉等事项；</w:t>
      </w:r>
    </w:p>
    <w:p w14:paraId="5A5C91CA">
      <w:pPr>
        <w:spacing w:line="360" w:lineRule="auto"/>
        <w:ind w:firstLine="480" w:firstLineChars="200"/>
        <w:rPr>
          <w:rFonts w:ascii="宋体" w:hAnsi="宋体"/>
          <w:sz w:val="24"/>
        </w:rPr>
      </w:pPr>
      <w:r>
        <w:rPr>
          <w:rFonts w:hint="eastAsia" w:ascii="宋体" w:hAnsi="宋体"/>
          <w:sz w:val="24"/>
        </w:rPr>
        <w:t>（八）法律、法规和规章规定的其他义务。</w:t>
      </w:r>
    </w:p>
    <w:p w14:paraId="70840BF8">
      <w:pPr>
        <w:spacing w:line="360" w:lineRule="auto"/>
        <w:rPr>
          <w:rFonts w:ascii="宋体" w:hAnsi="宋体"/>
          <w:b/>
          <w:sz w:val="24"/>
        </w:rPr>
      </w:pPr>
      <w:r>
        <w:rPr>
          <w:rFonts w:hint="eastAsia" w:ascii="宋体" w:hAnsi="宋体"/>
          <w:b/>
          <w:sz w:val="24"/>
        </w:rPr>
        <w:t>7.评审专家在采购活动中应当遵守以下工作纪律：</w:t>
      </w:r>
    </w:p>
    <w:p w14:paraId="31C7CE77">
      <w:pPr>
        <w:spacing w:line="360" w:lineRule="auto"/>
        <w:ind w:firstLine="480" w:firstLineChars="200"/>
        <w:rPr>
          <w:rFonts w:ascii="宋体" w:hAnsi="宋体"/>
          <w:sz w:val="24"/>
        </w:rPr>
      </w:pPr>
      <w:r>
        <w:rPr>
          <w:rFonts w:hint="eastAsia" w:ascii="宋体" w:hAnsi="宋体"/>
          <w:sz w:val="24"/>
        </w:rPr>
        <w:t>（一）不得参加与自己有《中华人民共和国政府采购法实施条例》第九条规定的利害关系的政府采购项目的评标活动。发现参加了与自己有利害关系的评审活动，须主动提出回避，退出评审；</w:t>
      </w:r>
    </w:p>
    <w:p w14:paraId="73B8CFEA">
      <w:pPr>
        <w:spacing w:line="360" w:lineRule="auto"/>
        <w:ind w:firstLine="480" w:firstLineChars="200"/>
        <w:rPr>
          <w:rFonts w:ascii="宋体" w:hAnsi="宋体"/>
          <w:sz w:val="24"/>
        </w:rPr>
      </w:pPr>
      <w:r>
        <w:rPr>
          <w:rFonts w:hint="eastAsia" w:ascii="宋体" w:hAnsi="宋体"/>
          <w:sz w:val="24"/>
        </w:rPr>
        <w:t>（二）评审前，应当将通讯工具或者相关电子设备交由采购</w:t>
      </w:r>
      <w:r>
        <w:rPr>
          <w:rFonts w:hint="eastAsia" w:ascii="宋体" w:hAnsi="宋体"/>
          <w:sz w:val="24"/>
          <w:lang w:val="en-US" w:eastAsia="zh-CN"/>
        </w:rPr>
        <w:t>人</w:t>
      </w:r>
      <w:r>
        <w:rPr>
          <w:rFonts w:hint="eastAsia" w:ascii="宋体" w:hAnsi="宋体"/>
          <w:sz w:val="24"/>
        </w:rPr>
        <w:t>统一保管；</w:t>
      </w:r>
    </w:p>
    <w:p w14:paraId="6843E613">
      <w:pPr>
        <w:spacing w:line="360" w:lineRule="auto"/>
        <w:ind w:firstLine="480" w:firstLineChars="200"/>
        <w:rPr>
          <w:rFonts w:ascii="宋体" w:hAnsi="宋体"/>
          <w:sz w:val="24"/>
        </w:rPr>
      </w:pPr>
      <w:r>
        <w:rPr>
          <w:rFonts w:hint="eastAsia" w:ascii="宋体" w:hAnsi="宋体"/>
          <w:sz w:val="24"/>
        </w:rPr>
        <w:t>（三）评审过程中，不得与外界联系，因发生不可预见情况，确实需要与外界联系的，应当在监督人员监督之下办理；</w:t>
      </w:r>
    </w:p>
    <w:p w14:paraId="47E8A400">
      <w:pPr>
        <w:spacing w:line="360" w:lineRule="auto"/>
        <w:ind w:firstLine="480" w:firstLineChars="200"/>
        <w:rPr>
          <w:rFonts w:ascii="宋体" w:hAnsi="宋体"/>
          <w:sz w:val="24"/>
        </w:rPr>
      </w:pPr>
      <w:r>
        <w:rPr>
          <w:rFonts w:hint="eastAsia" w:ascii="宋体" w:hAnsi="宋体"/>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31EBCDC5">
      <w:pPr>
        <w:spacing w:line="360" w:lineRule="auto"/>
        <w:ind w:firstLine="480" w:firstLineChars="200"/>
        <w:rPr>
          <w:rFonts w:ascii="宋体" w:hAnsi="宋体"/>
          <w:sz w:val="24"/>
        </w:rPr>
      </w:pPr>
      <w:r>
        <w:rPr>
          <w:rFonts w:hint="eastAsia" w:ascii="宋体" w:hAnsi="宋体"/>
          <w:sz w:val="24"/>
        </w:rPr>
        <w:t>（五）在评审过程中和评审结束后，不得记录、复制或带走任何评审资料，不得向外界透露评审内容；</w:t>
      </w:r>
    </w:p>
    <w:p w14:paraId="6C79D9A4">
      <w:pPr>
        <w:spacing w:line="360" w:lineRule="auto"/>
        <w:ind w:firstLine="480" w:firstLineChars="200"/>
        <w:rPr>
          <w:rFonts w:ascii="宋体" w:hAnsi="宋体"/>
          <w:sz w:val="24"/>
        </w:rPr>
      </w:pPr>
      <w:r>
        <w:rPr>
          <w:rFonts w:hint="eastAsia" w:ascii="宋体" w:hAnsi="宋体"/>
          <w:sz w:val="24"/>
        </w:rPr>
        <w:t>（六）评审现场服从采购</w:t>
      </w:r>
      <w:r>
        <w:rPr>
          <w:rFonts w:hint="eastAsia" w:ascii="宋体" w:hAnsi="宋体"/>
          <w:sz w:val="24"/>
          <w:lang w:val="en-US" w:eastAsia="zh-CN"/>
        </w:rPr>
        <w:t>人</w:t>
      </w:r>
      <w:r>
        <w:rPr>
          <w:rFonts w:hint="eastAsia" w:ascii="宋体" w:hAnsi="宋体"/>
          <w:sz w:val="24"/>
        </w:rPr>
        <w:t>工作人员的管理，接受现场监督人员的合法监督；</w:t>
      </w:r>
    </w:p>
    <w:p w14:paraId="1467CA16">
      <w:pPr>
        <w:spacing w:line="360" w:lineRule="auto"/>
        <w:ind w:firstLine="480" w:firstLineChars="200"/>
        <w:rPr>
          <w:rFonts w:ascii="宋体" w:hAnsi="宋体"/>
          <w:sz w:val="24"/>
        </w:rPr>
      </w:pPr>
      <w:r>
        <w:rPr>
          <w:rFonts w:hint="eastAsia" w:ascii="宋体" w:hAnsi="宋体"/>
          <w:sz w:val="24"/>
        </w:rPr>
        <w:t>（七）遵守有关廉洁自律规定，不得私下接触供应商，不得收受供应商及有关业务单位和个人的财物或好处。</w:t>
      </w:r>
    </w:p>
    <w:p w14:paraId="513C5C20">
      <w:pPr>
        <w:pStyle w:val="2"/>
        <w:pageBreakBefore w:val="0"/>
        <w:kinsoku/>
        <w:wordWrap w:val="0"/>
        <w:overflowPunct/>
        <w:topLinePunct w:val="0"/>
        <w:bidi w:val="0"/>
        <w:snapToGrid/>
        <w:spacing w:before="0" w:after="0" w:line="360" w:lineRule="auto"/>
        <w:rPr>
          <w:rFonts w:hint="eastAsia" w:ascii="宋体" w:hAnsi="宋体" w:eastAsia="宋体" w:cs="宋体"/>
          <w:color w:val="auto"/>
          <w:sz w:val="32"/>
          <w:szCs w:val="32"/>
          <w:highlight w:val="none"/>
        </w:rPr>
      </w:pPr>
      <w:r>
        <w:rPr>
          <w:rFonts w:ascii="宋体" w:hAnsi="宋体"/>
          <w:sz w:val="24"/>
        </w:rPr>
        <w:br w:type="page"/>
      </w:r>
      <w:bookmarkEnd w:id="120"/>
      <w:bookmarkEnd w:id="121"/>
      <w:bookmarkEnd w:id="122"/>
      <w:bookmarkStart w:id="210" w:name="_Toc510440809"/>
      <w:bookmarkStart w:id="211" w:name="_Toc30208"/>
      <w:r>
        <w:rPr>
          <w:rFonts w:hint="eastAsia" w:ascii="宋体" w:hAnsi="宋体" w:eastAsia="宋体" w:cs="宋体"/>
          <w:sz w:val="32"/>
          <w:szCs w:val="32"/>
        </w:rPr>
        <w:t xml:space="preserve">第八章 </w:t>
      </w:r>
      <w:bookmarkEnd w:id="210"/>
      <w:bookmarkStart w:id="212" w:name="_Toc30589"/>
      <w:bookmarkStart w:id="213" w:name="_Toc15803"/>
      <w:bookmarkStart w:id="214" w:name="_Toc520125268"/>
      <w:bookmarkStart w:id="215" w:name="_Toc520369838"/>
      <w:r>
        <w:rPr>
          <w:rFonts w:hint="eastAsia" w:ascii="宋体" w:hAnsi="宋体" w:eastAsia="宋体" w:cs="宋体"/>
          <w:color w:val="auto"/>
          <w:sz w:val="32"/>
          <w:szCs w:val="32"/>
          <w:highlight w:val="none"/>
        </w:rPr>
        <w:t>采购合同</w:t>
      </w:r>
      <w:bookmarkEnd w:id="211"/>
    </w:p>
    <w:bookmarkEnd w:id="212"/>
    <w:bookmarkEnd w:id="213"/>
    <w:p w14:paraId="6D291ACC">
      <w:pPr>
        <w:snapToGrid w:val="0"/>
        <w:spacing w:line="276" w:lineRule="auto"/>
        <w:rPr>
          <w:rFonts w:hint="eastAsia" w:ascii="宋体" w:hAnsi="宋体" w:eastAsia="宋体" w:cs="宋体"/>
          <w:b/>
          <w:bCs/>
          <w:color w:val="000000"/>
          <w:sz w:val="24"/>
          <w:highlight w:val="none"/>
        </w:rPr>
      </w:pPr>
      <w:bookmarkStart w:id="216" w:name="_Toc4552"/>
      <w:r>
        <w:rPr>
          <w:rFonts w:hint="eastAsia" w:ascii="宋体" w:hAnsi="宋体" w:eastAsia="宋体" w:cs="宋体"/>
          <w:b/>
          <w:bCs/>
          <w:color w:val="000000"/>
          <w:sz w:val="24"/>
          <w:highlight w:val="none"/>
        </w:rPr>
        <w:t xml:space="preserve">合同编号： </w:t>
      </w:r>
    </w:p>
    <w:p w14:paraId="132DD779">
      <w:pPr>
        <w:snapToGrid w:val="0"/>
        <w:spacing w:line="276"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签订地点：</w:t>
      </w:r>
    </w:p>
    <w:p w14:paraId="6FDE5D7A">
      <w:pPr>
        <w:snapToGrid w:val="0"/>
        <w:spacing w:line="276"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签订时间：</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年   月   日。</w:t>
      </w:r>
    </w:p>
    <w:p w14:paraId="3970EB43">
      <w:pPr>
        <w:snapToGrid w:val="0"/>
        <w:spacing w:line="276" w:lineRule="auto"/>
        <w:rPr>
          <w:rFonts w:hint="eastAsia" w:ascii="宋体" w:hAnsi="宋体" w:eastAsia="宋体" w:cs="宋体"/>
          <w:b/>
          <w:bCs/>
          <w:color w:val="000000"/>
          <w:sz w:val="24"/>
          <w:highlight w:val="none"/>
          <w:u w:val="single"/>
          <w:lang w:val="en-US" w:eastAsia="zh-CN"/>
        </w:rPr>
      </w:pPr>
      <w:r>
        <w:rPr>
          <w:rFonts w:hint="eastAsia" w:ascii="宋体" w:hAnsi="宋体" w:eastAsia="宋体" w:cs="宋体"/>
          <w:b/>
          <w:bCs/>
          <w:color w:val="000000"/>
          <w:sz w:val="24"/>
          <w:highlight w:val="none"/>
        </w:rPr>
        <w:t>采购人（甲方）：</w:t>
      </w:r>
      <w:r>
        <w:rPr>
          <w:rFonts w:hint="eastAsia" w:ascii="宋体" w:hAnsi="宋体" w:eastAsia="宋体" w:cs="宋体"/>
          <w:b/>
          <w:bCs/>
          <w:color w:val="000000"/>
          <w:sz w:val="24"/>
          <w:highlight w:val="none"/>
          <w:u w:val="single"/>
        </w:rPr>
        <w:t xml:space="preserve"> </w:t>
      </w:r>
      <w:r>
        <w:rPr>
          <w:rFonts w:hint="eastAsia" w:ascii="宋体" w:hAnsi="宋体" w:eastAsia="宋体" w:cs="宋体"/>
          <w:b/>
          <w:bCs/>
          <w:color w:val="000000"/>
          <w:sz w:val="24"/>
          <w:highlight w:val="none"/>
          <w:u w:val="single"/>
          <w:lang w:val="en-US" w:eastAsia="zh-CN"/>
        </w:rPr>
        <w:t xml:space="preserve">                             </w:t>
      </w:r>
    </w:p>
    <w:p w14:paraId="5CC3CEF4">
      <w:pPr>
        <w:snapToGrid w:val="0"/>
        <w:spacing w:line="276" w:lineRule="auto"/>
        <w:rPr>
          <w:rFonts w:hint="eastAsia" w:ascii="宋体" w:hAnsi="宋体" w:eastAsia="宋体" w:cs="宋体"/>
          <w:color w:val="000000"/>
          <w:sz w:val="24"/>
          <w:highlight w:val="none"/>
          <w:u w:val="single"/>
        </w:rPr>
      </w:pPr>
      <w:r>
        <w:rPr>
          <w:rFonts w:hint="eastAsia" w:ascii="宋体" w:hAnsi="宋体" w:eastAsia="宋体" w:cs="宋体"/>
          <w:b/>
          <w:bCs/>
          <w:color w:val="000000"/>
          <w:sz w:val="24"/>
          <w:highlight w:val="none"/>
        </w:rPr>
        <w:t>供应商（乙方）：</w:t>
      </w:r>
      <w:r>
        <w:rPr>
          <w:rFonts w:hint="eastAsia" w:ascii="宋体" w:hAnsi="宋体" w:eastAsia="宋体" w:cs="宋体"/>
          <w:b/>
          <w:bCs/>
          <w:color w:val="000000"/>
          <w:sz w:val="24"/>
          <w:highlight w:val="none"/>
          <w:u w:val="single"/>
        </w:rPr>
        <w:t xml:space="preserve">  </w:t>
      </w:r>
      <w:r>
        <w:rPr>
          <w:rFonts w:hint="eastAsia" w:ascii="宋体" w:hAnsi="宋体" w:eastAsia="宋体" w:cs="宋体"/>
          <w:color w:val="000000"/>
          <w:sz w:val="24"/>
          <w:highlight w:val="none"/>
          <w:u w:val="single"/>
        </w:rPr>
        <w:t xml:space="preserve">                            </w:t>
      </w:r>
    </w:p>
    <w:p w14:paraId="4C29F222">
      <w:pPr>
        <w:snapToGrid w:val="0"/>
        <w:spacing w:line="276" w:lineRule="auto"/>
        <w:ind w:firstLine="480" w:firstLineChars="200"/>
        <w:rPr>
          <w:rFonts w:hint="eastAsia" w:ascii="宋体" w:hAnsi="宋体" w:eastAsia="宋体" w:cs="宋体"/>
          <w:color w:val="000000"/>
          <w:sz w:val="24"/>
          <w:highlight w:val="none"/>
        </w:rPr>
      </w:pPr>
    </w:p>
    <w:p w14:paraId="371018FE">
      <w:pPr>
        <w:snapToGrid w:val="0"/>
        <w:spacing w:line="276"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依据《中华人民共和国民法典》、《中华人民共和国政府采购法》与项目行业有关的法律法规，以及</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采购项目（</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项目编号：</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）的《</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文件》，乙方的《</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文件》及《</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通知书》，甲、乙双方同意签订本合同。详细技术说明及其他有关合同项目的特定信息由合同附件予以说明，合同附件及本项目的《</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文件》、《</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 xml:space="preserve">通知书》等均为本合同的组成部分。 </w:t>
      </w:r>
    </w:p>
    <w:p w14:paraId="0CFA0414">
      <w:pPr>
        <w:numPr>
          <w:ilvl w:val="0"/>
          <w:numId w:val="2"/>
        </w:numPr>
        <w:snapToGrid w:val="0"/>
        <w:spacing w:line="276" w:lineRule="auto"/>
        <w:outlineLvl w:val="1"/>
        <w:rPr>
          <w:rFonts w:hint="eastAsia" w:ascii="宋体" w:hAnsi="宋体" w:eastAsia="宋体" w:cs="宋体"/>
          <w:b/>
          <w:color w:val="000000"/>
          <w:sz w:val="24"/>
          <w:highlight w:val="none"/>
        </w:rPr>
      </w:pPr>
      <w:bookmarkStart w:id="217" w:name="_Toc8861"/>
      <w:bookmarkStart w:id="218" w:name="_Toc10818"/>
      <w:r>
        <w:rPr>
          <w:rFonts w:hint="eastAsia" w:ascii="宋体" w:hAnsi="宋体" w:eastAsia="宋体" w:cs="宋体"/>
          <w:b/>
          <w:color w:val="000000"/>
          <w:sz w:val="24"/>
          <w:highlight w:val="none"/>
        </w:rPr>
        <w:t>项目基本情况</w:t>
      </w:r>
      <w:bookmarkEnd w:id="217"/>
      <w:bookmarkEnd w:id="218"/>
    </w:p>
    <w:p w14:paraId="2211EE6F">
      <w:pPr>
        <w:snapToGrid w:val="0"/>
        <w:spacing w:line="276"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为</w:t>
      </w:r>
      <w:r>
        <w:rPr>
          <w:rFonts w:hint="eastAsia" w:ascii="宋体" w:hAnsi="宋体" w:cs="宋体"/>
          <w:color w:val="000000"/>
          <w:sz w:val="24"/>
          <w:highlight w:val="none"/>
          <w:lang w:val="en-US" w:eastAsia="zh-CN"/>
        </w:rPr>
        <w:t>四川省</w:t>
      </w:r>
      <w:r>
        <w:rPr>
          <w:rFonts w:hint="eastAsia" w:ascii="宋体" w:hAnsi="宋体" w:eastAsia="宋体" w:cs="宋体"/>
          <w:color w:val="000000"/>
          <w:sz w:val="24"/>
          <w:highlight w:val="none"/>
          <w:lang w:val="en-US" w:eastAsia="zh-CN"/>
        </w:rPr>
        <w:t>成都</w:t>
      </w:r>
      <w:r>
        <w:rPr>
          <w:rFonts w:hint="eastAsia" w:ascii="宋体" w:hAnsi="宋体" w:cs="宋体"/>
          <w:color w:val="000000"/>
          <w:sz w:val="24"/>
          <w:highlight w:val="none"/>
          <w:lang w:val="en-US" w:eastAsia="zh-CN"/>
        </w:rPr>
        <w:t>市第二中学新校区（凤凰校区）提供书籍售卖业务</w:t>
      </w:r>
    </w:p>
    <w:p w14:paraId="5F10E680">
      <w:pPr>
        <w:snapToGrid w:val="0"/>
        <w:spacing w:line="276" w:lineRule="auto"/>
        <w:outlineLvl w:val="1"/>
        <w:rPr>
          <w:rFonts w:hint="eastAsia" w:ascii="宋体" w:hAnsi="宋体" w:eastAsia="宋体" w:cs="宋体"/>
          <w:b/>
          <w:color w:val="000000"/>
          <w:sz w:val="24"/>
          <w:highlight w:val="none"/>
        </w:rPr>
      </w:pPr>
      <w:bookmarkStart w:id="219" w:name="_Toc17641"/>
      <w:bookmarkStart w:id="220" w:name="_Toc11069"/>
      <w:r>
        <w:rPr>
          <w:rFonts w:hint="eastAsia" w:ascii="宋体" w:hAnsi="宋体" w:eastAsia="宋体" w:cs="宋体"/>
          <w:b/>
          <w:bCs/>
          <w:color w:val="000000"/>
          <w:sz w:val="24"/>
          <w:highlight w:val="none"/>
        </w:rPr>
        <w:t>第二条</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color w:val="000000"/>
          <w:sz w:val="24"/>
          <w:highlight w:val="none"/>
        </w:rPr>
        <w:t>合同期限</w:t>
      </w:r>
      <w:bookmarkEnd w:id="219"/>
      <w:bookmarkEnd w:id="220"/>
    </w:p>
    <w:p w14:paraId="0AF5E079">
      <w:pPr>
        <w:snapToGrid w:val="0"/>
        <w:spacing w:line="276" w:lineRule="auto"/>
        <w:rPr>
          <w:rFonts w:hint="eastAsia" w:ascii="宋体" w:hAnsi="宋体" w:eastAsia="宋体" w:cs="宋体"/>
          <w:color w:val="000000"/>
          <w:sz w:val="24"/>
          <w:highlight w:val="none"/>
        </w:rPr>
      </w:pPr>
      <w:bookmarkStart w:id="221" w:name="_Toc225654644"/>
      <w:bookmarkStart w:id="222" w:name="_Toc251768862"/>
      <w:bookmarkStart w:id="223" w:name="_Toc237145406"/>
      <w:bookmarkStart w:id="224" w:name="_Toc225670751"/>
      <w:bookmarkStart w:id="225" w:name="_Toc282696226"/>
      <w:bookmarkStart w:id="226" w:name="_Toc286993786"/>
      <w:bookmarkStart w:id="227" w:name="_Toc212019594"/>
      <w:bookmarkStart w:id="228" w:name="_Toc239568418"/>
      <w:bookmarkStart w:id="229" w:name="_Toc241833903"/>
      <w:bookmarkStart w:id="230" w:name="_Toc211854449"/>
      <w:bookmarkStart w:id="231" w:name="_Toc185395249"/>
      <w:bookmarkStart w:id="232" w:name="_Toc283019214"/>
      <w:bookmarkStart w:id="233" w:name="_Toc238984975"/>
      <w:bookmarkStart w:id="234" w:name="_Toc247334841"/>
      <w:bookmarkStart w:id="235" w:name="_Toc232492928"/>
      <w:bookmarkStart w:id="236" w:name="_Toc239233914"/>
      <w:bookmarkStart w:id="237" w:name="_Toc211911348"/>
      <w:bookmarkStart w:id="238" w:name="_Toc225244852"/>
      <w:r>
        <w:rPr>
          <w:rFonts w:hint="eastAsia" w:ascii="宋体" w:hAnsi="宋体" w:cs="宋体"/>
          <w:color w:val="000000"/>
          <w:sz w:val="24"/>
          <w:highlight w:val="none"/>
          <w:lang w:val="en-US" w:eastAsia="zh-CN"/>
        </w:rPr>
        <w:t>合同签订之日起30日内完成书籍供货和上架服务。</w:t>
      </w:r>
    </w:p>
    <w:p w14:paraId="60FAA473">
      <w:pPr>
        <w:snapToGrid w:val="0"/>
        <w:spacing w:line="276" w:lineRule="auto"/>
        <w:outlineLvl w:val="1"/>
        <w:rPr>
          <w:rFonts w:hint="eastAsia" w:ascii="宋体" w:hAnsi="宋体" w:eastAsia="宋体" w:cs="宋体"/>
          <w:b/>
          <w:color w:val="000000"/>
          <w:sz w:val="24"/>
          <w:highlight w:val="none"/>
        </w:rPr>
      </w:pPr>
      <w:bookmarkStart w:id="239" w:name="_Toc28331"/>
      <w:bookmarkStart w:id="240" w:name="_Toc18594"/>
      <w:r>
        <w:rPr>
          <w:rFonts w:hint="eastAsia" w:ascii="宋体" w:hAnsi="宋体" w:eastAsia="宋体" w:cs="宋体"/>
          <w:b/>
          <w:color w:val="000000"/>
          <w:sz w:val="24"/>
          <w:highlight w:val="none"/>
        </w:rPr>
        <w:t>第三条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服务内容与质量标准</w:t>
      </w:r>
      <w:bookmarkEnd w:id="239"/>
      <w:bookmarkEnd w:id="240"/>
    </w:p>
    <w:p w14:paraId="02BFDCAC">
      <w:pPr>
        <w:snapToGrid w:val="0"/>
        <w:spacing w:line="276" w:lineRule="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1、服务内容与质量标准：按照</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文件》</w:t>
      </w:r>
      <w:r>
        <w:rPr>
          <w:rFonts w:hint="eastAsia" w:ascii="宋体" w:hAnsi="宋体" w:cs="宋体"/>
          <w:color w:val="000000"/>
          <w:sz w:val="24"/>
          <w:highlight w:val="none"/>
          <w:lang w:val="en-US" w:eastAsia="zh-CN"/>
        </w:rPr>
        <w:t>约定内容执行。</w:t>
      </w:r>
    </w:p>
    <w:p w14:paraId="66B117CA">
      <w:pPr>
        <w:snapToGrid w:val="0"/>
        <w:spacing w:line="276" w:lineRule="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2、服务地点：采购人指定地点</w:t>
      </w:r>
      <w:r>
        <w:rPr>
          <w:rFonts w:hint="eastAsia" w:ascii="宋体" w:hAnsi="宋体" w:eastAsia="宋体" w:cs="宋体"/>
          <w:color w:val="000000"/>
          <w:sz w:val="24"/>
          <w:highlight w:val="none"/>
        </w:rPr>
        <w:t>。</w:t>
      </w:r>
    </w:p>
    <w:p w14:paraId="45E22D11">
      <w:pPr>
        <w:snapToGrid w:val="0"/>
        <w:spacing w:line="276" w:lineRule="auto"/>
        <w:outlineLvl w:val="1"/>
        <w:rPr>
          <w:rFonts w:hint="eastAsia" w:ascii="宋体" w:hAnsi="宋体" w:eastAsia="宋体" w:cs="宋体"/>
          <w:b/>
          <w:color w:val="000000"/>
          <w:sz w:val="24"/>
          <w:highlight w:val="none"/>
        </w:rPr>
      </w:pPr>
      <w:bookmarkStart w:id="241" w:name="_Toc2227"/>
      <w:bookmarkStart w:id="242" w:name="_Toc25236"/>
      <w:r>
        <w:rPr>
          <w:rFonts w:hint="eastAsia" w:ascii="宋体" w:hAnsi="宋体" w:eastAsia="宋体" w:cs="宋体"/>
          <w:b/>
          <w:color w:val="000000"/>
          <w:sz w:val="24"/>
          <w:highlight w:val="none"/>
        </w:rPr>
        <w:t>第四条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服务费用及支付方式</w:t>
      </w:r>
      <w:bookmarkEnd w:id="241"/>
      <w:bookmarkEnd w:id="242"/>
    </w:p>
    <w:p w14:paraId="24482310">
      <w:pPr>
        <w:keepNext w:val="0"/>
        <w:keepLines w:val="0"/>
        <w:pageBreakBefore w:val="0"/>
        <w:widowControl w:val="0"/>
        <w:kinsoku/>
        <w:wordWrap/>
        <w:overflowPunct/>
        <w:topLinePunct w:val="0"/>
        <w:autoSpaceDE/>
        <w:autoSpaceDN/>
        <w:bidi w:val="0"/>
        <w:adjustRightInd/>
        <w:snapToGrid w:val="0"/>
        <w:spacing w:line="276" w:lineRule="auto"/>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（一）本项目</w:t>
      </w:r>
      <w:r>
        <w:rPr>
          <w:rFonts w:hint="eastAsia" w:ascii="宋体" w:hAnsi="宋体" w:cs="宋体"/>
          <w:b/>
          <w:color w:val="000000"/>
          <w:sz w:val="24"/>
          <w:highlight w:val="none"/>
          <w:lang w:val="en-US" w:eastAsia="zh-CN"/>
        </w:rPr>
        <w:t>采购</w:t>
      </w:r>
      <w:r>
        <w:rPr>
          <w:rFonts w:hint="eastAsia" w:ascii="宋体" w:hAnsi="宋体" w:eastAsia="宋体" w:cs="宋体"/>
          <w:b/>
          <w:color w:val="000000"/>
          <w:sz w:val="24"/>
          <w:highlight w:val="none"/>
        </w:rPr>
        <w:t>费用由以下组成：</w:t>
      </w:r>
    </w:p>
    <w:p w14:paraId="7E690A6E">
      <w:pPr>
        <w:pStyle w:val="77"/>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cs="宋体"/>
          <w:color w:val="000000"/>
          <w:highlight w:val="none"/>
          <w:lang w:val="en-US" w:eastAsia="zh-CN"/>
        </w:rPr>
        <w:t>书籍售卖及配套服务</w:t>
      </w:r>
      <w:r>
        <w:rPr>
          <w:rFonts w:hint="eastAsia" w:ascii="宋体" w:hAnsi="宋体" w:eastAsia="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万元；</w:t>
      </w:r>
    </w:p>
    <w:p w14:paraId="7C6C22EC">
      <w:pPr>
        <w:keepNext w:val="0"/>
        <w:keepLines w:val="0"/>
        <w:pageBreakBefore w:val="0"/>
        <w:widowControl w:val="0"/>
        <w:tabs>
          <w:tab w:val="left" w:pos="780"/>
        </w:tabs>
        <w:kinsoku/>
        <w:wordWrap/>
        <w:overflowPunct/>
        <w:topLinePunct w:val="0"/>
        <w:autoSpaceDE/>
        <w:autoSpaceDN/>
        <w:bidi w:val="0"/>
        <w:adjustRightInd/>
        <w:snapToGrid w:val="0"/>
        <w:spacing w:line="276" w:lineRule="auto"/>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w:t>
      </w:r>
      <w:r>
        <w:rPr>
          <w:rFonts w:hint="eastAsia" w:ascii="宋体" w:hAnsi="宋体" w:cs="宋体"/>
          <w:b/>
          <w:color w:val="000000"/>
          <w:sz w:val="24"/>
          <w:highlight w:val="none"/>
          <w:lang w:val="en-US" w:eastAsia="zh-CN"/>
        </w:rPr>
        <w:t>本项目采购金额及</w:t>
      </w:r>
      <w:r>
        <w:rPr>
          <w:rFonts w:hint="eastAsia" w:ascii="宋体" w:hAnsi="宋体" w:eastAsia="宋体" w:cs="宋体"/>
          <w:b/>
          <w:color w:val="000000"/>
          <w:sz w:val="24"/>
          <w:highlight w:val="none"/>
        </w:rPr>
        <w:t>费</w:t>
      </w:r>
      <w:r>
        <w:rPr>
          <w:rFonts w:hint="eastAsia" w:ascii="宋体" w:hAnsi="宋体" w:cs="宋体"/>
          <w:b/>
          <w:color w:val="000000"/>
          <w:sz w:val="24"/>
          <w:highlight w:val="none"/>
          <w:lang w:val="en-US" w:eastAsia="zh-CN"/>
        </w:rPr>
        <w:t>用</w:t>
      </w:r>
      <w:r>
        <w:rPr>
          <w:rFonts w:hint="eastAsia" w:ascii="宋体" w:hAnsi="宋体" w:eastAsia="宋体" w:cs="宋体"/>
          <w:b/>
          <w:color w:val="000000"/>
          <w:sz w:val="24"/>
          <w:highlight w:val="none"/>
        </w:rPr>
        <w:t>支付方式：</w:t>
      </w:r>
    </w:p>
    <w:p w14:paraId="401A360A">
      <w:pPr>
        <w:keepNext w:val="0"/>
        <w:keepLines w:val="0"/>
        <w:pageBreakBefore w:val="0"/>
        <w:widowControl w:val="0"/>
        <w:kinsoku/>
        <w:wordWrap/>
        <w:overflowPunct/>
        <w:topLinePunct w:val="0"/>
        <w:autoSpaceDE/>
        <w:autoSpaceDN/>
        <w:bidi w:val="0"/>
        <w:adjustRightInd/>
        <w:snapToGrid w:val="0"/>
        <w:spacing w:line="276" w:lineRule="auto"/>
        <w:ind w:firstLine="480" w:firstLineChars="200"/>
        <w:textAlignment w:val="auto"/>
        <w:outlineLvl w:val="9"/>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1、本项目采购金额：100000.00元，大写：壹拾万元零角零分。</w:t>
      </w:r>
    </w:p>
    <w:p w14:paraId="738D11CD">
      <w:pPr>
        <w:keepNext w:val="0"/>
        <w:keepLines w:val="0"/>
        <w:pageBreakBefore w:val="0"/>
        <w:widowControl w:val="0"/>
        <w:kinsoku/>
        <w:wordWrap/>
        <w:overflowPunct/>
        <w:topLinePunct w:val="0"/>
        <w:autoSpaceDE/>
        <w:autoSpaceDN/>
        <w:bidi w:val="0"/>
        <w:adjustRightInd/>
        <w:snapToGrid w:val="0"/>
        <w:spacing w:line="276" w:lineRule="auto"/>
        <w:ind w:firstLine="480" w:firstLineChars="200"/>
        <w:textAlignment w:val="auto"/>
        <w:outlineLvl w:val="9"/>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2、合同签订后乙方开具增值税普通发票10日内支付中标价格的40%（即： 40000.00元，大写：肆万元零角零分 ），完成供货并验收通过后乙方开具增值税普通发票15日内支付中标价格的60%（即60000.00元，大写：陆万元零角零分）。</w:t>
      </w:r>
    </w:p>
    <w:p w14:paraId="25168877">
      <w:pPr>
        <w:keepNext w:val="0"/>
        <w:keepLines w:val="0"/>
        <w:pageBreakBefore w:val="0"/>
        <w:widowControl w:val="0"/>
        <w:kinsoku/>
        <w:wordWrap/>
        <w:overflowPunct/>
        <w:topLinePunct w:val="0"/>
        <w:autoSpaceDE/>
        <w:autoSpaceDN/>
        <w:bidi w:val="0"/>
        <w:adjustRightInd/>
        <w:snapToGrid w:val="0"/>
        <w:spacing w:line="276" w:lineRule="auto"/>
        <w:ind w:firstLine="480" w:firstLineChars="200"/>
        <w:textAlignment w:val="auto"/>
        <w:outlineLvl w:val="9"/>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w:t>
      </w:r>
      <w:bookmarkStart w:id="243" w:name="_Toc10085"/>
      <w:r>
        <w:rPr>
          <w:rFonts w:hint="eastAsia" w:ascii="宋体" w:hAnsi="宋体" w:eastAsia="宋体" w:cs="宋体"/>
          <w:b/>
          <w:color w:val="000000"/>
          <w:sz w:val="24"/>
          <w:highlight w:val="none"/>
        </w:rPr>
        <w:t>第五条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知识产权</w:t>
      </w:r>
      <w:bookmarkEnd w:id="243"/>
    </w:p>
    <w:p w14:paraId="0C13DC3F">
      <w:pPr>
        <w:tabs>
          <w:tab w:val="left" w:pos="1440"/>
        </w:tabs>
        <w:snapToGrid w:val="0"/>
        <w:spacing w:line="276"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乙方应保证所提供的</w:t>
      </w:r>
      <w:r>
        <w:rPr>
          <w:rFonts w:hint="eastAsia" w:ascii="宋体" w:hAnsi="宋体" w:cs="宋体"/>
          <w:color w:val="000000"/>
          <w:sz w:val="24"/>
          <w:highlight w:val="none"/>
          <w:lang w:val="en-US" w:eastAsia="zh-CN"/>
        </w:rPr>
        <w:t>货物</w:t>
      </w:r>
      <w:r>
        <w:rPr>
          <w:rFonts w:hint="eastAsia" w:ascii="宋体" w:hAnsi="宋体" w:eastAsia="宋体" w:cs="宋体"/>
          <w:color w:val="000000"/>
          <w:sz w:val="24"/>
          <w:highlight w:val="none"/>
        </w:rPr>
        <w:t>或其任何一部分均不会侵犯任何第三方的专利权、商标权或著作权。</w:t>
      </w:r>
    </w:p>
    <w:p w14:paraId="65C0BA7D">
      <w:pPr>
        <w:snapToGrid w:val="0"/>
        <w:spacing w:line="276" w:lineRule="auto"/>
        <w:outlineLvl w:val="1"/>
        <w:rPr>
          <w:rFonts w:hint="eastAsia" w:ascii="宋体" w:hAnsi="宋体" w:eastAsia="宋体" w:cs="宋体"/>
          <w:b/>
          <w:color w:val="000000"/>
          <w:sz w:val="24"/>
          <w:highlight w:val="none"/>
        </w:rPr>
      </w:pPr>
      <w:bookmarkStart w:id="244" w:name="_Toc11491"/>
      <w:bookmarkStart w:id="245" w:name="_Toc13964"/>
      <w:r>
        <w:rPr>
          <w:rFonts w:hint="eastAsia" w:ascii="宋体" w:hAnsi="宋体" w:eastAsia="宋体" w:cs="宋体"/>
          <w:b/>
          <w:color w:val="000000"/>
          <w:sz w:val="24"/>
          <w:highlight w:val="none"/>
        </w:rPr>
        <w:t>第六条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无产权瑕疵条款</w:t>
      </w:r>
      <w:bookmarkEnd w:id="244"/>
      <w:bookmarkEnd w:id="245"/>
    </w:p>
    <w:p w14:paraId="6F7BDB3D">
      <w:pPr>
        <w:tabs>
          <w:tab w:val="left" w:pos="1440"/>
        </w:tabs>
        <w:snapToGrid w:val="0"/>
        <w:spacing w:line="276"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乙方保证所提供的</w:t>
      </w:r>
      <w:r>
        <w:rPr>
          <w:rFonts w:hint="eastAsia" w:ascii="宋体" w:hAnsi="宋体" w:cs="宋体"/>
          <w:color w:val="000000"/>
          <w:sz w:val="24"/>
          <w:highlight w:val="none"/>
          <w:lang w:val="en-US" w:eastAsia="zh-CN"/>
        </w:rPr>
        <w:t>货物</w:t>
      </w:r>
      <w:r>
        <w:rPr>
          <w:rFonts w:hint="eastAsia" w:ascii="宋体" w:hAnsi="宋体" w:eastAsia="宋体" w:cs="宋体"/>
          <w:color w:val="000000"/>
          <w:sz w:val="24"/>
          <w:highlight w:val="none"/>
        </w:rPr>
        <w:t>的所有权完全属于乙方且无任何抵押、查封等产权瑕疵。如有产权瑕疵的，视为乙方违约。乙方应负担由此而产生的一切损失。</w:t>
      </w:r>
    </w:p>
    <w:p w14:paraId="119AA299">
      <w:pPr>
        <w:snapToGrid w:val="0"/>
        <w:spacing w:line="276" w:lineRule="auto"/>
        <w:outlineLvl w:val="1"/>
        <w:rPr>
          <w:rFonts w:hint="eastAsia" w:ascii="宋体" w:hAnsi="宋体" w:eastAsia="宋体" w:cs="宋体"/>
          <w:b/>
          <w:color w:val="000000"/>
          <w:sz w:val="24"/>
          <w:highlight w:val="none"/>
          <w:lang w:val="en-US" w:eastAsia="zh-CN"/>
        </w:rPr>
      </w:pPr>
      <w:bookmarkStart w:id="246" w:name="_Toc11432"/>
      <w:bookmarkStart w:id="247" w:name="_Toc16346"/>
      <w:r>
        <w:rPr>
          <w:rFonts w:hint="eastAsia" w:ascii="宋体" w:hAnsi="宋体" w:eastAsia="宋体" w:cs="宋体"/>
          <w:b/>
          <w:color w:val="000000"/>
          <w:sz w:val="24"/>
          <w:highlight w:val="none"/>
        </w:rPr>
        <w:t>第七条</w:t>
      </w:r>
      <w:r>
        <w:rPr>
          <w:rFonts w:hint="eastAsia" w:ascii="宋体" w:hAnsi="宋体" w:eastAsia="宋体" w:cs="宋体"/>
          <w:b/>
          <w:color w:val="000000"/>
          <w:sz w:val="24"/>
          <w:highlight w:val="none"/>
          <w:lang w:val="en-US" w:eastAsia="zh-CN"/>
        </w:rPr>
        <w:t xml:space="preserve"> 履约保证金</w:t>
      </w:r>
      <w:bookmarkEnd w:id="246"/>
      <w:bookmarkEnd w:id="247"/>
    </w:p>
    <w:p w14:paraId="3A9049F7">
      <w:pPr>
        <w:snapToGrid w:val="0"/>
        <w:spacing w:line="276" w:lineRule="auto"/>
        <w:outlineLvl w:val="1"/>
        <w:rPr>
          <w:rFonts w:hint="eastAsia" w:ascii="宋体" w:hAnsi="宋体" w:cs="宋体"/>
          <w:bCs/>
          <w:color w:val="000000"/>
          <w:sz w:val="24"/>
          <w:highlight w:val="none"/>
          <w:lang w:val="en-US" w:eastAsia="zh-CN"/>
        </w:rPr>
      </w:pPr>
      <w:bookmarkStart w:id="248" w:name="_Toc11771"/>
      <w:bookmarkStart w:id="249" w:name="_Toc1036"/>
      <w:r>
        <w:rPr>
          <w:rFonts w:hint="eastAsia" w:ascii="宋体" w:hAnsi="宋体" w:cs="宋体"/>
          <w:bCs/>
          <w:color w:val="000000"/>
          <w:sz w:val="24"/>
          <w:highlight w:val="none"/>
          <w:lang w:val="en-US" w:eastAsia="zh-CN"/>
        </w:rPr>
        <w:t>本项目不收取履约保证金。</w:t>
      </w:r>
      <w:bookmarkEnd w:id="248"/>
    </w:p>
    <w:p w14:paraId="3CBB7104">
      <w:pPr>
        <w:snapToGrid w:val="0"/>
        <w:spacing w:line="276" w:lineRule="auto"/>
        <w:outlineLvl w:val="1"/>
        <w:rPr>
          <w:rFonts w:hint="eastAsia" w:ascii="宋体" w:hAnsi="宋体" w:eastAsia="宋体" w:cs="宋体"/>
          <w:b/>
          <w:color w:val="000000"/>
          <w:sz w:val="24"/>
          <w:highlight w:val="none"/>
        </w:rPr>
      </w:pPr>
      <w:bookmarkStart w:id="250" w:name="_Toc4603"/>
      <w:r>
        <w:rPr>
          <w:rFonts w:hint="eastAsia" w:ascii="宋体" w:hAnsi="宋体" w:eastAsia="宋体" w:cs="宋体"/>
          <w:b/>
          <w:color w:val="000000"/>
          <w:sz w:val="24"/>
          <w:highlight w:val="none"/>
        </w:rPr>
        <w:t>第</w:t>
      </w:r>
      <w:r>
        <w:rPr>
          <w:rFonts w:hint="eastAsia" w:ascii="宋体" w:hAnsi="宋体" w:eastAsia="宋体" w:cs="宋体"/>
          <w:b/>
          <w:color w:val="000000"/>
          <w:sz w:val="24"/>
          <w:highlight w:val="none"/>
          <w:lang w:val="en-US" w:eastAsia="zh-CN"/>
        </w:rPr>
        <w:t>八</w:t>
      </w:r>
      <w:r>
        <w:rPr>
          <w:rFonts w:hint="eastAsia" w:ascii="宋体" w:hAnsi="宋体" w:eastAsia="宋体" w:cs="宋体"/>
          <w:b/>
          <w:color w:val="000000"/>
          <w:sz w:val="24"/>
          <w:highlight w:val="none"/>
        </w:rPr>
        <w:t>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甲方的权利和义务</w:t>
      </w:r>
      <w:bookmarkEnd w:id="249"/>
      <w:bookmarkEnd w:id="250"/>
    </w:p>
    <w:p w14:paraId="414E80D4">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甲方有权对合同规定范围内乙方的</w:t>
      </w:r>
      <w:r>
        <w:rPr>
          <w:rFonts w:hint="eastAsia" w:ascii="宋体" w:hAnsi="宋体" w:cs="宋体"/>
          <w:bCs/>
          <w:color w:val="000000"/>
          <w:sz w:val="24"/>
          <w:highlight w:val="none"/>
          <w:lang w:val="en-US" w:eastAsia="zh-CN"/>
        </w:rPr>
        <w:t>供货过程</w:t>
      </w:r>
      <w:r>
        <w:rPr>
          <w:rFonts w:hint="eastAsia" w:ascii="宋体" w:hAnsi="宋体" w:eastAsia="宋体" w:cs="宋体"/>
          <w:bCs/>
          <w:color w:val="000000"/>
          <w:sz w:val="24"/>
          <w:highlight w:val="none"/>
        </w:rPr>
        <w:t>进行监督和检查，拥有监管权。有权</w:t>
      </w:r>
      <w:r>
        <w:rPr>
          <w:rFonts w:hint="eastAsia" w:ascii="宋体" w:hAnsi="宋体" w:cs="宋体"/>
          <w:bCs/>
          <w:color w:val="000000"/>
          <w:sz w:val="24"/>
          <w:highlight w:val="none"/>
          <w:lang w:val="en-US" w:eastAsia="zh-CN"/>
        </w:rPr>
        <w:t>对</w:t>
      </w:r>
      <w:r>
        <w:rPr>
          <w:rFonts w:hint="eastAsia" w:ascii="宋体" w:hAnsi="宋体" w:eastAsia="宋体" w:cs="宋体"/>
          <w:bCs/>
          <w:color w:val="000000"/>
          <w:sz w:val="24"/>
          <w:highlight w:val="none"/>
        </w:rPr>
        <w:t>乙方提供</w:t>
      </w:r>
      <w:r>
        <w:rPr>
          <w:rFonts w:hint="eastAsia" w:ascii="宋体" w:hAnsi="宋体" w:cs="宋体"/>
          <w:bCs/>
          <w:color w:val="000000"/>
          <w:sz w:val="24"/>
          <w:highlight w:val="none"/>
          <w:lang w:val="en-US" w:eastAsia="zh-CN"/>
        </w:rPr>
        <w:t>的货物及配套服务进行要求、有权随机抽查或送检供货书籍的质量</w:t>
      </w:r>
      <w:r>
        <w:rPr>
          <w:rFonts w:hint="eastAsia" w:ascii="宋体" w:hAnsi="宋体" w:eastAsia="宋体" w:cs="宋体"/>
          <w:bCs/>
          <w:color w:val="000000"/>
          <w:sz w:val="24"/>
          <w:highlight w:val="none"/>
        </w:rPr>
        <w:t>。对甲方认为不合理的部分有权要求乙方限期整改</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包含但不限于更换书籍，重新选定书籍，服务评价等</w:t>
      </w:r>
      <w:r>
        <w:rPr>
          <w:rFonts w:hint="eastAsia" w:ascii="宋体" w:hAnsi="宋体" w:eastAsia="宋体" w:cs="宋体"/>
          <w:bCs/>
          <w:color w:val="000000"/>
          <w:sz w:val="24"/>
          <w:highlight w:val="none"/>
        </w:rPr>
        <w:t>。</w:t>
      </w:r>
    </w:p>
    <w:p w14:paraId="015C32E2">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甲方有权依据</w:t>
      </w:r>
      <w:r>
        <w:rPr>
          <w:rFonts w:hint="eastAsia" w:ascii="宋体" w:hAnsi="宋体" w:cs="宋体"/>
          <w:bCs/>
          <w:color w:val="000000"/>
          <w:sz w:val="24"/>
          <w:highlight w:val="none"/>
          <w:lang w:val="en-US" w:eastAsia="zh-CN"/>
        </w:rPr>
        <w:t>乙方投标响应内容进行核实供货情况，如发现有偏离的情况且乙方不配合甲方进行整改的，甲方有权解除本协议，并保留追究乙方由此带来的各项损失的权利</w:t>
      </w:r>
      <w:r>
        <w:rPr>
          <w:rFonts w:hint="eastAsia" w:ascii="宋体" w:hAnsi="宋体" w:eastAsia="宋体" w:cs="宋体"/>
          <w:bCs/>
          <w:color w:val="000000"/>
          <w:sz w:val="24"/>
          <w:highlight w:val="none"/>
        </w:rPr>
        <w:t>。</w:t>
      </w:r>
    </w:p>
    <w:p w14:paraId="15341D17">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负责检查监督乙方</w:t>
      </w:r>
      <w:r>
        <w:rPr>
          <w:rFonts w:hint="eastAsia" w:ascii="宋体" w:hAnsi="宋体" w:cs="宋体"/>
          <w:bCs/>
          <w:color w:val="000000"/>
          <w:sz w:val="24"/>
          <w:highlight w:val="none"/>
          <w:lang w:val="en-US" w:eastAsia="zh-CN"/>
        </w:rPr>
        <w:t>供货的的</w:t>
      </w:r>
      <w:r>
        <w:rPr>
          <w:rFonts w:hint="eastAsia" w:ascii="宋体" w:hAnsi="宋体" w:eastAsia="宋体" w:cs="宋体"/>
          <w:bCs/>
          <w:color w:val="000000"/>
          <w:sz w:val="24"/>
          <w:highlight w:val="none"/>
        </w:rPr>
        <w:t>执行情况。</w:t>
      </w:r>
    </w:p>
    <w:p w14:paraId="755B68A6">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根据本合同规定，按时向乙方支付应付服务费用。</w:t>
      </w:r>
    </w:p>
    <w:p w14:paraId="673B9720">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国家法律、法规所规定由甲方承担的其它责任。</w:t>
      </w:r>
    </w:p>
    <w:p w14:paraId="631E32D3">
      <w:pPr>
        <w:snapToGrid w:val="0"/>
        <w:spacing w:line="276" w:lineRule="auto"/>
        <w:outlineLvl w:val="1"/>
        <w:rPr>
          <w:rFonts w:hint="eastAsia" w:ascii="宋体" w:hAnsi="宋体" w:eastAsia="宋体" w:cs="宋体"/>
          <w:b/>
          <w:color w:val="000000"/>
          <w:sz w:val="24"/>
          <w:highlight w:val="none"/>
        </w:rPr>
      </w:pPr>
      <w:bookmarkStart w:id="251" w:name="_Toc18916"/>
      <w:bookmarkStart w:id="252" w:name="_Toc13635"/>
      <w:r>
        <w:rPr>
          <w:rFonts w:hint="eastAsia" w:ascii="宋体" w:hAnsi="宋体" w:eastAsia="宋体" w:cs="宋体"/>
          <w:b/>
          <w:color w:val="000000"/>
          <w:sz w:val="24"/>
          <w:highlight w:val="none"/>
        </w:rPr>
        <w:t>第</w:t>
      </w:r>
      <w:r>
        <w:rPr>
          <w:rFonts w:hint="eastAsia" w:ascii="宋体" w:hAnsi="宋体" w:eastAsia="宋体" w:cs="宋体"/>
          <w:b/>
          <w:color w:val="000000"/>
          <w:sz w:val="24"/>
          <w:highlight w:val="none"/>
          <w:lang w:val="en-US" w:eastAsia="zh-CN"/>
        </w:rPr>
        <w:t>九</w:t>
      </w:r>
      <w:r>
        <w:rPr>
          <w:rFonts w:hint="eastAsia" w:ascii="宋体" w:hAnsi="宋体" w:eastAsia="宋体" w:cs="宋体"/>
          <w:b/>
          <w:color w:val="000000"/>
          <w:sz w:val="24"/>
          <w:highlight w:val="none"/>
        </w:rPr>
        <w:t>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乙方的权利和义务</w:t>
      </w:r>
      <w:bookmarkEnd w:id="251"/>
      <w:bookmarkEnd w:id="252"/>
    </w:p>
    <w:p w14:paraId="558E8EC4">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对本合同规定的</w:t>
      </w:r>
      <w:r>
        <w:rPr>
          <w:rFonts w:hint="eastAsia" w:ascii="宋体" w:hAnsi="宋体" w:cs="宋体"/>
          <w:bCs/>
          <w:color w:val="000000"/>
          <w:sz w:val="24"/>
          <w:highlight w:val="none"/>
          <w:lang w:val="en-US" w:eastAsia="zh-CN"/>
        </w:rPr>
        <w:t>供货业务</w:t>
      </w:r>
      <w:r>
        <w:rPr>
          <w:rFonts w:hint="eastAsia" w:ascii="宋体" w:hAnsi="宋体" w:eastAsia="宋体" w:cs="宋体"/>
          <w:bCs/>
          <w:color w:val="000000"/>
          <w:sz w:val="24"/>
          <w:highlight w:val="none"/>
        </w:rPr>
        <w:t>有管理权及服务义务。</w:t>
      </w:r>
    </w:p>
    <w:p w14:paraId="0FB4A57A">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根据本合同的规定向甲方收取相关</w:t>
      </w:r>
      <w:r>
        <w:rPr>
          <w:rFonts w:hint="eastAsia" w:ascii="宋体" w:hAnsi="宋体" w:cs="宋体"/>
          <w:bCs/>
          <w:color w:val="000000"/>
          <w:sz w:val="24"/>
          <w:highlight w:val="none"/>
          <w:lang w:val="en-US" w:eastAsia="zh-CN"/>
        </w:rPr>
        <w:t>采购</w:t>
      </w:r>
      <w:r>
        <w:rPr>
          <w:rFonts w:hint="eastAsia" w:ascii="宋体" w:hAnsi="宋体" w:eastAsia="宋体" w:cs="宋体"/>
          <w:bCs/>
          <w:color w:val="000000"/>
          <w:sz w:val="24"/>
          <w:highlight w:val="none"/>
        </w:rPr>
        <w:t>费用，并有权在本项目管理范围内管理及合理使用。</w:t>
      </w:r>
    </w:p>
    <w:p w14:paraId="344E0217">
      <w:pPr>
        <w:adjustRightInd w:val="0"/>
        <w:snapToGrid w:val="0"/>
        <w:spacing w:line="276" w:lineRule="auto"/>
        <w:ind w:firstLine="480" w:firstLineChars="200"/>
        <w:jc w:val="left"/>
        <w:textAlignment w:val="baseline"/>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及时向甲方通告本项目</w:t>
      </w:r>
      <w:r>
        <w:rPr>
          <w:rFonts w:hint="eastAsia" w:ascii="宋体" w:hAnsi="宋体" w:cs="宋体"/>
          <w:color w:val="000000"/>
          <w:sz w:val="24"/>
          <w:highlight w:val="none"/>
          <w:lang w:val="en-US" w:eastAsia="zh-CN"/>
        </w:rPr>
        <w:t>供货过程种的</w:t>
      </w:r>
      <w:r>
        <w:rPr>
          <w:rFonts w:hint="eastAsia" w:ascii="宋体" w:hAnsi="宋体" w:eastAsia="宋体" w:cs="宋体"/>
          <w:color w:val="000000"/>
          <w:sz w:val="24"/>
          <w:highlight w:val="none"/>
        </w:rPr>
        <w:t>的重大事项，及时配合处理。</w:t>
      </w:r>
    </w:p>
    <w:p w14:paraId="5528E715">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4</w:t>
      </w:r>
      <w:r>
        <w:rPr>
          <w:rFonts w:hint="eastAsia" w:ascii="宋体" w:hAnsi="宋体" w:eastAsia="宋体" w:cs="宋体"/>
          <w:color w:val="000000"/>
          <w:sz w:val="24"/>
          <w:highlight w:val="none"/>
          <w:lang w:eastAsia="zh-CN"/>
        </w:rPr>
        <w:t>、</w:t>
      </w:r>
      <w:r>
        <w:rPr>
          <w:rFonts w:hint="eastAsia" w:ascii="宋体" w:hAnsi="宋体" w:eastAsia="宋体" w:cs="宋体"/>
          <w:bCs/>
          <w:color w:val="000000"/>
          <w:sz w:val="24"/>
          <w:highlight w:val="none"/>
        </w:rPr>
        <w:t>接受项目行业管理部门及政府有关部门的指导，接受甲方的监督。</w:t>
      </w:r>
    </w:p>
    <w:p w14:paraId="1EABFB30">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国家法律、法规所规定由乙方承担的其它责任。</w:t>
      </w:r>
    </w:p>
    <w:p w14:paraId="0531888A">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严格完全根据甲方</w:t>
      </w:r>
      <w:r>
        <w:rPr>
          <w:rFonts w:hint="eastAsia" w:ascii="宋体" w:hAnsi="宋体" w:cs="宋体"/>
          <w:bCs/>
          <w:color w:val="000000"/>
          <w:sz w:val="24"/>
          <w:highlight w:val="none"/>
          <w:lang w:val="en-US" w:eastAsia="zh-CN"/>
        </w:rPr>
        <w:t>谈判</w:t>
      </w:r>
      <w:r>
        <w:rPr>
          <w:rFonts w:hint="eastAsia" w:ascii="宋体" w:hAnsi="宋体" w:eastAsia="宋体" w:cs="宋体"/>
          <w:bCs/>
          <w:color w:val="000000"/>
          <w:sz w:val="24"/>
          <w:highlight w:val="none"/>
        </w:rPr>
        <w:t>文件要求及乙方</w:t>
      </w:r>
      <w:r>
        <w:rPr>
          <w:rFonts w:hint="eastAsia" w:ascii="宋体" w:hAnsi="宋体" w:eastAsia="宋体" w:cs="宋体"/>
          <w:bCs/>
          <w:color w:val="000000"/>
          <w:sz w:val="24"/>
          <w:highlight w:val="none"/>
          <w:lang w:val="en-US" w:eastAsia="zh-CN"/>
        </w:rPr>
        <w:t>响应</w:t>
      </w:r>
      <w:r>
        <w:rPr>
          <w:rFonts w:hint="eastAsia" w:ascii="宋体" w:hAnsi="宋体" w:eastAsia="宋体" w:cs="宋体"/>
          <w:bCs/>
          <w:color w:val="000000"/>
          <w:sz w:val="24"/>
          <w:highlight w:val="none"/>
        </w:rPr>
        <w:t>文件响应的其他承诺及服务进行履约。</w:t>
      </w:r>
    </w:p>
    <w:p w14:paraId="0931D2BF">
      <w:pPr>
        <w:snapToGrid w:val="0"/>
        <w:spacing w:line="276" w:lineRule="auto"/>
        <w:outlineLvl w:val="1"/>
        <w:rPr>
          <w:rFonts w:hint="eastAsia" w:ascii="宋体" w:hAnsi="宋体" w:eastAsia="宋体" w:cs="宋体"/>
          <w:b/>
          <w:color w:val="000000"/>
          <w:sz w:val="24"/>
          <w:highlight w:val="none"/>
        </w:rPr>
      </w:pPr>
      <w:bookmarkStart w:id="253" w:name="_Toc25608"/>
      <w:bookmarkStart w:id="254" w:name="_Toc2052"/>
      <w:r>
        <w:rPr>
          <w:rFonts w:hint="eastAsia" w:ascii="宋体" w:hAnsi="宋体" w:eastAsia="宋体" w:cs="宋体"/>
          <w:b/>
          <w:color w:val="000000"/>
          <w:sz w:val="24"/>
          <w:highlight w:val="none"/>
        </w:rPr>
        <w:t>第</w:t>
      </w:r>
      <w:r>
        <w:rPr>
          <w:rFonts w:hint="eastAsia" w:ascii="宋体" w:hAnsi="宋体" w:eastAsia="宋体" w:cs="宋体"/>
          <w:b/>
          <w:color w:val="000000"/>
          <w:sz w:val="24"/>
          <w:highlight w:val="none"/>
          <w:lang w:val="en-US" w:eastAsia="zh-CN"/>
        </w:rPr>
        <w:t>十</w:t>
      </w:r>
      <w:r>
        <w:rPr>
          <w:rFonts w:hint="eastAsia" w:ascii="宋体" w:hAnsi="宋体" w:eastAsia="宋体" w:cs="宋体"/>
          <w:b/>
          <w:color w:val="000000"/>
          <w:sz w:val="24"/>
          <w:highlight w:val="none"/>
        </w:rPr>
        <w:t>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违约责任</w:t>
      </w:r>
      <w:bookmarkEnd w:id="253"/>
      <w:bookmarkEnd w:id="254"/>
    </w:p>
    <w:p w14:paraId="7ED1D358">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1、甲乙双方必须遵守本合同并执行合同中的各项规定，保证本合同的正常履行。</w:t>
      </w:r>
    </w:p>
    <w:p w14:paraId="78D0D4E0">
      <w:pPr>
        <w:adjustRightInd w:val="0"/>
        <w:snapToGrid w:val="0"/>
        <w:spacing w:line="276" w:lineRule="auto"/>
        <w:ind w:firstLine="480" w:firstLineChars="200"/>
        <w:jc w:val="left"/>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402D13A8">
      <w:pPr>
        <w:snapToGrid w:val="0"/>
        <w:spacing w:line="276" w:lineRule="auto"/>
        <w:outlineLvl w:val="1"/>
        <w:rPr>
          <w:rFonts w:hint="eastAsia" w:ascii="宋体" w:hAnsi="宋体" w:eastAsia="宋体" w:cs="宋体"/>
          <w:b/>
          <w:color w:val="000000"/>
          <w:sz w:val="24"/>
          <w:highlight w:val="none"/>
        </w:rPr>
      </w:pPr>
      <w:bookmarkStart w:id="255" w:name="_Toc6822"/>
      <w:bookmarkStart w:id="256" w:name="_Toc10696"/>
      <w:r>
        <w:rPr>
          <w:rFonts w:hint="eastAsia" w:ascii="宋体" w:hAnsi="宋体" w:eastAsia="宋体" w:cs="宋体"/>
          <w:b/>
          <w:color w:val="000000"/>
          <w:sz w:val="24"/>
          <w:highlight w:val="none"/>
        </w:rPr>
        <w:t>第十</w:t>
      </w:r>
      <w:r>
        <w:rPr>
          <w:rFonts w:hint="eastAsia" w:ascii="宋体" w:hAnsi="宋体" w:eastAsia="宋体" w:cs="宋体"/>
          <w:b/>
          <w:color w:val="000000"/>
          <w:sz w:val="24"/>
          <w:highlight w:val="none"/>
          <w:lang w:val="en-US" w:eastAsia="zh-CN"/>
        </w:rPr>
        <w:t>一</w:t>
      </w:r>
      <w:r>
        <w:rPr>
          <w:rFonts w:hint="eastAsia" w:ascii="宋体" w:hAnsi="宋体" w:eastAsia="宋体" w:cs="宋体"/>
          <w:b/>
          <w:color w:val="000000"/>
          <w:sz w:val="24"/>
          <w:highlight w:val="none"/>
        </w:rPr>
        <w:t>条</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不可抗力事件处理</w:t>
      </w:r>
      <w:bookmarkEnd w:id="255"/>
      <w:bookmarkEnd w:id="256"/>
    </w:p>
    <w:p w14:paraId="2707EA16">
      <w:pPr>
        <w:tabs>
          <w:tab w:val="left" w:pos="0"/>
        </w:tabs>
        <w:snapToGrid w:val="0"/>
        <w:spacing w:line="276"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1、在合同有效期内，任何一方因不可抗力事件导致不能履行合同，则合同履行期可延长，其延长期与不可抗力影响期相同。</w:t>
      </w:r>
    </w:p>
    <w:p w14:paraId="3BCAA51D">
      <w:pPr>
        <w:tabs>
          <w:tab w:val="left" w:pos="0"/>
        </w:tabs>
        <w:snapToGrid w:val="0"/>
        <w:spacing w:line="276"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2、不可抗力事件发生后，应立即通知对方，并寄送有关权威机构出具的证明。</w:t>
      </w:r>
    </w:p>
    <w:p w14:paraId="53205FF2">
      <w:pPr>
        <w:tabs>
          <w:tab w:val="left" w:pos="0"/>
        </w:tabs>
        <w:snapToGrid w:val="0"/>
        <w:spacing w:line="276"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3、不可抗力事件延续</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天以上，双方应通过友好协商，确定是否继续履行合同。</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3D3999C1">
      <w:pPr>
        <w:pStyle w:val="91"/>
        <w:keepNext w:val="0"/>
        <w:keepLines w:val="0"/>
        <w:pageBreakBefore w:val="0"/>
        <w:widowControl w:val="0"/>
        <w:kinsoku/>
        <w:wordWrap/>
        <w:overflowPunct/>
        <w:topLinePunct w:val="0"/>
        <w:autoSpaceDE/>
        <w:autoSpaceDN/>
        <w:bidi w:val="0"/>
        <w:adjustRightInd w:val="0"/>
        <w:snapToGrid w:val="0"/>
        <w:spacing w:line="276" w:lineRule="auto"/>
        <w:ind w:left="0" w:leftChars="0" w:firstLine="0" w:firstLineChars="0"/>
        <w:jc w:val="both"/>
        <w:textAlignment w:val="auto"/>
        <w:outlineLvl w:val="1"/>
        <w:rPr>
          <w:rFonts w:hint="eastAsia" w:ascii="宋体" w:hAnsi="宋体" w:eastAsia="宋体" w:cs="宋体"/>
          <w:b/>
          <w:color w:val="000000"/>
          <w:kern w:val="2"/>
          <w:sz w:val="24"/>
          <w:szCs w:val="24"/>
          <w:highlight w:val="none"/>
          <w:lang w:val="en-US" w:eastAsia="zh-CN" w:bidi="ar-SA"/>
        </w:rPr>
      </w:pPr>
      <w:bookmarkStart w:id="257" w:name="_Toc16381"/>
      <w:bookmarkStart w:id="258" w:name="_Toc22132"/>
      <w:r>
        <w:rPr>
          <w:rFonts w:hint="eastAsia" w:ascii="宋体" w:hAnsi="宋体" w:eastAsia="宋体" w:cs="宋体"/>
          <w:b/>
          <w:color w:val="000000"/>
          <w:kern w:val="2"/>
          <w:sz w:val="24"/>
          <w:szCs w:val="24"/>
          <w:highlight w:val="none"/>
          <w:lang w:val="en-US" w:eastAsia="zh-CN" w:bidi="ar-SA"/>
        </w:rPr>
        <w:t>第十二条 解决合同纠纷的方式</w:t>
      </w:r>
      <w:bookmarkEnd w:id="257"/>
      <w:bookmarkEnd w:id="258"/>
    </w:p>
    <w:p w14:paraId="720B19A2">
      <w:pPr>
        <w:pStyle w:val="91"/>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1、在执行本合同中发生的或与本合同有关的争端，双方应通过友好协商解决，协商不成的，任何一方均有权向甲方所在人民法院起诉。</w:t>
      </w:r>
    </w:p>
    <w:p w14:paraId="5E5E9743">
      <w:pPr>
        <w:pStyle w:val="91"/>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2、诉讼期间，除合同有争议部分外，合同其他部分继续执行。</w:t>
      </w:r>
    </w:p>
    <w:p w14:paraId="600832AE">
      <w:pPr>
        <w:pStyle w:val="91"/>
        <w:keepNext w:val="0"/>
        <w:keepLines w:val="0"/>
        <w:pageBreakBefore w:val="0"/>
        <w:widowControl w:val="0"/>
        <w:kinsoku/>
        <w:wordWrap/>
        <w:overflowPunct/>
        <w:topLinePunct w:val="0"/>
        <w:autoSpaceDE/>
        <w:autoSpaceDN/>
        <w:bidi w:val="0"/>
        <w:adjustRightInd w:val="0"/>
        <w:snapToGrid w:val="0"/>
        <w:spacing w:line="276" w:lineRule="auto"/>
        <w:ind w:left="0" w:leftChars="0" w:firstLine="0" w:firstLineChars="0"/>
        <w:jc w:val="both"/>
        <w:textAlignment w:val="auto"/>
        <w:outlineLvl w:val="1"/>
        <w:rPr>
          <w:rFonts w:hint="eastAsia" w:ascii="宋体" w:hAnsi="宋体" w:eastAsia="宋体" w:cs="宋体"/>
          <w:b/>
          <w:color w:val="000000"/>
          <w:kern w:val="2"/>
          <w:sz w:val="24"/>
          <w:szCs w:val="24"/>
          <w:highlight w:val="none"/>
          <w:lang w:val="en-US" w:eastAsia="zh-CN" w:bidi="ar-SA"/>
        </w:rPr>
      </w:pPr>
      <w:bookmarkStart w:id="259" w:name="_Toc32373"/>
      <w:bookmarkStart w:id="260" w:name="_Toc26457"/>
      <w:r>
        <w:rPr>
          <w:rFonts w:hint="eastAsia" w:ascii="宋体" w:hAnsi="宋体" w:eastAsia="宋体" w:cs="宋体"/>
          <w:b/>
          <w:color w:val="000000"/>
          <w:kern w:val="2"/>
          <w:sz w:val="24"/>
          <w:szCs w:val="24"/>
          <w:highlight w:val="none"/>
          <w:lang w:val="en-US" w:eastAsia="zh-CN" w:bidi="ar-SA"/>
        </w:rPr>
        <w:t>第十三条 合同生效及其他</w:t>
      </w:r>
      <w:bookmarkEnd w:id="259"/>
      <w:bookmarkEnd w:id="260"/>
    </w:p>
    <w:p w14:paraId="45C543B9">
      <w:pPr>
        <w:pStyle w:val="91"/>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1、合同经双方法定代表人或授权委托代理人签字或加盖单位公章后生效。</w:t>
      </w:r>
    </w:p>
    <w:p w14:paraId="0562E662">
      <w:pPr>
        <w:pStyle w:val="91"/>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2、本合同一式X份，自双方签章之日起起效。甲方X份，乙方X份，采购代理机构X份，具有同等法律效力。</w:t>
      </w:r>
    </w:p>
    <w:p w14:paraId="7B7FBFD5">
      <w:pPr>
        <w:pStyle w:val="91"/>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ind w:leftChars="0" w:firstLine="480"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3、拟采购书目清单附后。</w:t>
      </w:r>
    </w:p>
    <w:p w14:paraId="606DE957">
      <w:pPr>
        <w:snapToGrid w:val="0"/>
        <w:spacing w:line="276" w:lineRule="auto"/>
        <w:rPr>
          <w:rFonts w:hint="eastAsia" w:ascii="宋体" w:hAnsi="宋体" w:eastAsia="宋体" w:cs="宋体"/>
          <w:color w:val="000000"/>
          <w:sz w:val="24"/>
          <w:highlight w:val="none"/>
        </w:rPr>
      </w:pPr>
    </w:p>
    <w:p w14:paraId="58F18669">
      <w:pPr>
        <w:bidi w:val="0"/>
        <w:rPr>
          <w:rFonts w:hint="eastAsia" w:ascii="宋体" w:hAnsi="宋体" w:eastAsia="宋体" w:cs="宋体"/>
        </w:rPr>
      </w:pPr>
    </w:p>
    <w:p w14:paraId="1F7C753D">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甲方：</w:t>
      </w:r>
      <w:r>
        <w:rPr>
          <w:rFonts w:hint="eastAsia" w:ascii="宋体" w:hAnsi="宋体" w:eastAsia="宋体" w:cs="宋体"/>
          <w:bCs/>
          <w:color w:val="auto"/>
          <w:sz w:val="24"/>
          <w:highlight w:val="none"/>
        </w:rPr>
        <w:t xml:space="preserve">（盖章）   </w:t>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乙方：</w:t>
      </w:r>
      <w:r>
        <w:rPr>
          <w:rFonts w:hint="eastAsia" w:ascii="宋体" w:hAnsi="宋体" w:eastAsia="宋体" w:cs="宋体"/>
          <w:bCs/>
          <w:color w:val="auto"/>
          <w:sz w:val="24"/>
          <w:highlight w:val="none"/>
        </w:rPr>
        <w:t xml:space="preserve"> （盖章）</w:t>
      </w:r>
    </w:p>
    <w:p w14:paraId="30E1BA5A">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法定代表人（授权代表）：</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法定代表人（授权代表）：</w:t>
      </w:r>
    </w:p>
    <w:p w14:paraId="0E9AD376">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地    址：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地    址：</w:t>
      </w:r>
    </w:p>
    <w:p w14:paraId="221751B3">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开户银行：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开户银行：</w:t>
      </w:r>
    </w:p>
    <w:p w14:paraId="34E49A2B">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账号：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账号：</w:t>
      </w:r>
    </w:p>
    <w:p w14:paraId="03F8607B">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纳税人识别号：</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纳税人识别号：</w:t>
      </w:r>
    </w:p>
    <w:p w14:paraId="25294DC2">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项目联系人：</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项目联系人：</w:t>
      </w:r>
    </w:p>
    <w:p w14:paraId="42073379">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电    话：</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电    话：</w:t>
      </w:r>
    </w:p>
    <w:p w14:paraId="4C79FA8A">
      <w:pPr>
        <w:keepNext w:val="0"/>
        <w:keepLines w:val="0"/>
        <w:pageBreakBefore w:val="0"/>
        <w:widowControl w:val="0"/>
        <w:kinsoku/>
        <w:wordWrap/>
        <w:overflowPunct/>
        <w:topLinePunct w:val="0"/>
        <w:autoSpaceDE/>
        <w:autoSpaceDN/>
        <w:bidi w:val="0"/>
        <w:snapToGrid w:val="0"/>
        <w:spacing w:line="276" w:lineRule="auto"/>
        <w:outlineLvl w:val="9"/>
        <w:rPr>
          <w:rFonts w:hint="eastAsia" w:ascii="宋体" w:hAnsi="宋体" w:eastAsia="宋体" w:cs="宋体"/>
          <w:color w:val="auto"/>
        </w:rPr>
      </w:pPr>
      <w:r>
        <w:rPr>
          <w:rFonts w:hint="eastAsia" w:ascii="宋体" w:hAnsi="宋体" w:eastAsia="宋体" w:cs="宋体"/>
          <w:b/>
          <w:bCs/>
          <w:color w:val="auto"/>
          <w:sz w:val="24"/>
          <w:highlight w:val="none"/>
        </w:rPr>
        <w:t>签约日期：</w:t>
      </w:r>
      <w:r>
        <w:rPr>
          <w:rFonts w:hint="eastAsia" w:ascii="宋体" w:hAnsi="宋体" w:eastAsia="宋体" w:cs="宋体"/>
          <w:bCs/>
          <w:color w:val="auto"/>
          <w:sz w:val="24"/>
          <w:highlight w:val="none"/>
        </w:rPr>
        <w:t xml:space="preserve">XXXX年XX月XX日 </w:t>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
          <w:bCs/>
          <w:color w:val="auto"/>
          <w:sz w:val="24"/>
          <w:highlight w:val="none"/>
        </w:rPr>
        <w:t>签约日期：</w:t>
      </w:r>
      <w:r>
        <w:rPr>
          <w:rFonts w:hint="eastAsia" w:ascii="宋体" w:hAnsi="宋体" w:eastAsia="宋体" w:cs="宋体"/>
          <w:bCs/>
          <w:color w:val="auto"/>
          <w:sz w:val="24"/>
          <w:highlight w:val="none"/>
        </w:rPr>
        <w:t>XXXX年XX月XX日</w:t>
      </w:r>
    </w:p>
    <w:p w14:paraId="19332854">
      <w:pPr>
        <w:pStyle w:val="3"/>
        <w:spacing w:before="0" w:after="0" w:line="360" w:lineRule="auto"/>
        <w:rPr>
          <w:rFonts w:hint="eastAsia" w:ascii="宋体" w:hAnsi="宋体" w:eastAsia="宋体" w:cs="宋体"/>
          <w:sz w:val="30"/>
          <w:szCs w:val="30"/>
        </w:rPr>
      </w:pPr>
    </w:p>
    <w:p w14:paraId="57798F73">
      <w:pPr>
        <w:pStyle w:val="3"/>
        <w:spacing w:before="0" w:after="0" w:line="360" w:lineRule="auto"/>
        <w:rPr>
          <w:rFonts w:hint="eastAsia" w:ascii="宋体" w:hAnsi="宋体" w:eastAsia="宋体" w:cs="宋体"/>
          <w:sz w:val="30"/>
          <w:szCs w:val="30"/>
        </w:rPr>
      </w:pPr>
    </w:p>
    <w:p w14:paraId="0A19774C">
      <w:pPr>
        <w:pStyle w:val="3"/>
        <w:spacing w:before="0" w:after="0" w:line="360" w:lineRule="auto"/>
        <w:rPr>
          <w:rFonts w:hint="eastAsia" w:ascii="宋体" w:hAnsi="宋体" w:eastAsia="宋体" w:cs="宋体"/>
          <w:sz w:val="30"/>
          <w:szCs w:val="30"/>
        </w:rPr>
      </w:pPr>
    </w:p>
    <w:p w14:paraId="580B8BF7">
      <w:pPr>
        <w:pStyle w:val="3"/>
        <w:spacing w:before="0" w:after="0" w:line="360" w:lineRule="auto"/>
        <w:rPr>
          <w:rFonts w:hint="eastAsia" w:ascii="宋体" w:hAnsi="宋体" w:eastAsia="宋体" w:cs="宋体"/>
          <w:sz w:val="30"/>
          <w:szCs w:val="30"/>
        </w:rPr>
      </w:pPr>
    </w:p>
    <w:p w14:paraId="53E104CD">
      <w:pPr>
        <w:pStyle w:val="3"/>
        <w:spacing w:before="0" w:after="0" w:line="360" w:lineRule="auto"/>
        <w:rPr>
          <w:rFonts w:hint="eastAsia" w:ascii="宋体" w:hAnsi="宋体" w:eastAsia="宋体" w:cs="宋体"/>
          <w:sz w:val="30"/>
          <w:szCs w:val="30"/>
        </w:rPr>
      </w:pPr>
    </w:p>
    <w:p w14:paraId="5A95AF43">
      <w:pPr>
        <w:pStyle w:val="3"/>
        <w:spacing w:before="0" w:after="0" w:line="360" w:lineRule="auto"/>
        <w:rPr>
          <w:rFonts w:hint="eastAsia" w:ascii="宋体" w:hAnsi="宋体" w:eastAsia="宋体" w:cs="宋体"/>
          <w:sz w:val="30"/>
          <w:szCs w:val="30"/>
        </w:rPr>
      </w:pPr>
    </w:p>
    <w:bookmarkEnd w:id="214"/>
    <w:bookmarkEnd w:id="215"/>
    <w:bookmarkEnd w:id="216"/>
    <w:p w14:paraId="1E77870B">
      <w:pPr>
        <w:widowControl/>
        <w:rPr>
          <w:rFonts w:ascii="新宋体" w:hAnsi="新宋体" w:eastAsia="新宋体"/>
          <w:sz w:val="24"/>
        </w:rPr>
      </w:pPr>
      <w:bookmarkStart w:id="261" w:name="_Toc26357340"/>
    </w:p>
    <w:bookmarkEnd w:id="261"/>
    <w:p w14:paraId="4B92609D">
      <w:pPr>
        <w:pStyle w:val="32"/>
      </w:pPr>
    </w:p>
    <w:p w14:paraId="6FECE34E">
      <w:pPr>
        <w:pStyle w:val="32"/>
      </w:pPr>
    </w:p>
    <w:sectPr>
      <w:headerReference r:id="rId16" w:type="default"/>
      <w:footerReference r:id="rId17" w:type="default"/>
      <w:pgSz w:w="11907" w:h="16840"/>
      <w:pgMar w:top="1134" w:right="1134" w:bottom="1134"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C699">
    <w:pPr>
      <w:pStyle w:val="2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268C1F">
                          <w:pPr>
                            <w:pStyle w:val="2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51268C1F">
                    <w:pPr>
                      <w:pStyle w:val="2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DE00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33FC">
    <w:pPr>
      <w:pStyle w:val="28"/>
    </w:pPr>
  </w:p>
  <w:p w14:paraId="218C77D3">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21D97">
    <w:pPr>
      <w:pStyle w:val="2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CAF291">
                          <w:pPr>
                            <w:pStyle w:val="2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14:paraId="43CAF291">
                    <w:pPr>
                      <w:pStyle w:val="2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5BBE">
    <w:pPr>
      <w:pStyle w:val="28"/>
      <w:tabs>
        <w:tab w:val="right" w:pos="8317"/>
        <w:tab w:val="clear" w:pos="4153"/>
        <w:tab w:val="clear" w:pos="8306"/>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82A7">
    <w:pPr>
      <w:pStyle w:val="28"/>
    </w:pPr>
  </w:p>
  <w:p w14:paraId="0C891497">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B0BF">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7A5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8B0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274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879D">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8C62">
    <w:pPr>
      <w:pStyle w:val="2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BB1D">
    <w:pPr>
      <w:pStyle w:val="29"/>
    </w:pPr>
  </w:p>
  <w:p w14:paraId="761E5C67">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BF1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50E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BF6E8"/>
    <w:multiLevelType w:val="singleLevel"/>
    <w:tmpl w:val="99ABF6E8"/>
    <w:lvl w:ilvl="0" w:tentative="0">
      <w:start w:val="1"/>
      <w:numFmt w:val="chineseCounting"/>
      <w:suff w:val="space"/>
      <w:lvlText w:val="第%1条"/>
      <w:lvlJc w:val="left"/>
      <w:rPr>
        <w:rFonts w:hint="eastAsia"/>
      </w:rPr>
    </w:lvl>
  </w:abstractNum>
  <w:abstractNum w:abstractNumId="1">
    <w:nsid w:val="59F42A35"/>
    <w:multiLevelType w:val="singleLevel"/>
    <w:tmpl w:val="59F42A3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Y2OThlZDFmNDI3MTUzOWUxNmRjYzljYWE3NjQifQ=="/>
  </w:docVars>
  <w:rsids>
    <w:rsidRoot w:val="00F92C16"/>
    <w:rsid w:val="000027A0"/>
    <w:rsid w:val="000033F2"/>
    <w:rsid w:val="0000557A"/>
    <w:rsid w:val="00006A20"/>
    <w:rsid w:val="000115BF"/>
    <w:rsid w:val="00012611"/>
    <w:rsid w:val="00013AED"/>
    <w:rsid w:val="000148D8"/>
    <w:rsid w:val="00015B97"/>
    <w:rsid w:val="00016D05"/>
    <w:rsid w:val="0001782F"/>
    <w:rsid w:val="00017B55"/>
    <w:rsid w:val="00017DA6"/>
    <w:rsid w:val="00022EFB"/>
    <w:rsid w:val="00025449"/>
    <w:rsid w:val="00026985"/>
    <w:rsid w:val="0002784E"/>
    <w:rsid w:val="00030991"/>
    <w:rsid w:val="00032387"/>
    <w:rsid w:val="00032793"/>
    <w:rsid w:val="0003359B"/>
    <w:rsid w:val="00034B14"/>
    <w:rsid w:val="00035B12"/>
    <w:rsid w:val="00035D5C"/>
    <w:rsid w:val="00036ABE"/>
    <w:rsid w:val="00037112"/>
    <w:rsid w:val="00040466"/>
    <w:rsid w:val="00041700"/>
    <w:rsid w:val="0004217E"/>
    <w:rsid w:val="00042828"/>
    <w:rsid w:val="000447F1"/>
    <w:rsid w:val="000462DE"/>
    <w:rsid w:val="000476D8"/>
    <w:rsid w:val="00047A18"/>
    <w:rsid w:val="00047C03"/>
    <w:rsid w:val="0005019C"/>
    <w:rsid w:val="000522BD"/>
    <w:rsid w:val="000523AD"/>
    <w:rsid w:val="00052774"/>
    <w:rsid w:val="00052A8A"/>
    <w:rsid w:val="000537C5"/>
    <w:rsid w:val="00055CF4"/>
    <w:rsid w:val="00056521"/>
    <w:rsid w:val="00056714"/>
    <w:rsid w:val="00056A5D"/>
    <w:rsid w:val="00057D88"/>
    <w:rsid w:val="00057EC4"/>
    <w:rsid w:val="00060F3E"/>
    <w:rsid w:val="00061046"/>
    <w:rsid w:val="00061B75"/>
    <w:rsid w:val="00061D7D"/>
    <w:rsid w:val="0006273A"/>
    <w:rsid w:val="00063E2C"/>
    <w:rsid w:val="000642FF"/>
    <w:rsid w:val="00065C0C"/>
    <w:rsid w:val="00065C60"/>
    <w:rsid w:val="00066723"/>
    <w:rsid w:val="00066D1B"/>
    <w:rsid w:val="0007214E"/>
    <w:rsid w:val="00073AA2"/>
    <w:rsid w:val="000742C1"/>
    <w:rsid w:val="000749DA"/>
    <w:rsid w:val="00077438"/>
    <w:rsid w:val="0007763D"/>
    <w:rsid w:val="0008307A"/>
    <w:rsid w:val="000834FD"/>
    <w:rsid w:val="00085F2F"/>
    <w:rsid w:val="000865D8"/>
    <w:rsid w:val="000902BB"/>
    <w:rsid w:val="000902FD"/>
    <w:rsid w:val="00091FD4"/>
    <w:rsid w:val="00092375"/>
    <w:rsid w:val="0009250A"/>
    <w:rsid w:val="00092756"/>
    <w:rsid w:val="00093DD6"/>
    <w:rsid w:val="00094F6B"/>
    <w:rsid w:val="00096606"/>
    <w:rsid w:val="000968E9"/>
    <w:rsid w:val="00097B67"/>
    <w:rsid w:val="000A0C47"/>
    <w:rsid w:val="000A2402"/>
    <w:rsid w:val="000A3075"/>
    <w:rsid w:val="000A4982"/>
    <w:rsid w:val="000A70B8"/>
    <w:rsid w:val="000B1704"/>
    <w:rsid w:val="000B4C8B"/>
    <w:rsid w:val="000B5851"/>
    <w:rsid w:val="000B66AF"/>
    <w:rsid w:val="000B69CC"/>
    <w:rsid w:val="000B7A27"/>
    <w:rsid w:val="000C012D"/>
    <w:rsid w:val="000C120E"/>
    <w:rsid w:val="000C2328"/>
    <w:rsid w:val="000C2D7E"/>
    <w:rsid w:val="000C36E3"/>
    <w:rsid w:val="000C3A9B"/>
    <w:rsid w:val="000C3E67"/>
    <w:rsid w:val="000C4986"/>
    <w:rsid w:val="000C4C76"/>
    <w:rsid w:val="000C6E08"/>
    <w:rsid w:val="000D067E"/>
    <w:rsid w:val="000D1683"/>
    <w:rsid w:val="000D1E89"/>
    <w:rsid w:val="000D2D9A"/>
    <w:rsid w:val="000D385D"/>
    <w:rsid w:val="000D5400"/>
    <w:rsid w:val="000E04CD"/>
    <w:rsid w:val="000E15B3"/>
    <w:rsid w:val="000E1FF5"/>
    <w:rsid w:val="000E2C25"/>
    <w:rsid w:val="000E33CB"/>
    <w:rsid w:val="000E64C6"/>
    <w:rsid w:val="000E7F97"/>
    <w:rsid w:val="000F228F"/>
    <w:rsid w:val="000F27ED"/>
    <w:rsid w:val="000F2B7E"/>
    <w:rsid w:val="000F3CB5"/>
    <w:rsid w:val="000F58DB"/>
    <w:rsid w:val="000F6FDF"/>
    <w:rsid w:val="000F7164"/>
    <w:rsid w:val="000F7F2A"/>
    <w:rsid w:val="0010066D"/>
    <w:rsid w:val="001016F5"/>
    <w:rsid w:val="00101DA0"/>
    <w:rsid w:val="001039E0"/>
    <w:rsid w:val="001041E1"/>
    <w:rsid w:val="001044AE"/>
    <w:rsid w:val="0010592B"/>
    <w:rsid w:val="00105B70"/>
    <w:rsid w:val="00106101"/>
    <w:rsid w:val="00106C84"/>
    <w:rsid w:val="00106DB4"/>
    <w:rsid w:val="00111269"/>
    <w:rsid w:val="00111540"/>
    <w:rsid w:val="001119CC"/>
    <w:rsid w:val="00114004"/>
    <w:rsid w:val="00115497"/>
    <w:rsid w:val="0011564B"/>
    <w:rsid w:val="00116045"/>
    <w:rsid w:val="00117724"/>
    <w:rsid w:val="00122B29"/>
    <w:rsid w:val="00123F3A"/>
    <w:rsid w:val="00125812"/>
    <w:rsid w:val="00126418"/>
    <w:rsid w:val="0013014A"/>
    <w:rsid w:val="001309D1"/>
    <w:rsid w:val="0013136F"/>
    <w:rsid w:val="00132249"/>
    <w:rsid w:val="001322B3"/>
    <w:rsid w:val="001326F5"/>
    <w:rsid w:val="00132EAF"/>
    <w:rsid w:val="00133557"/>
    <w:rsid w:val="00133A9E"/>
    <w:rsid w:val="0013461E"/>
    <w:rsid w:val="00135178"/>
    <w:rsid w:val="00136B02"/>
    <w:rsid w:val="00136DA8"/>
    <w:rsid w:val="0013735D"/>
    <w:rsid w:val="00137520"/>
    <w:rsid w:val="00137A8D"/>
    <w:rsid w:val="001416F1"/>
    <w:rsid w:val="00144049"/>
    <w:rsid w:val="00145680"/>
    <w:rsid w:val="0014587F"/>
    <w:rsid w:val="00145D86"/>
    <w:rsid w:val="001464D1"/>
    <w:rsid w:val="0014683C"/>
    <w:rsid w:val="001500D7"/>
    <w:rsid w:val="001506FB"/>
    <w:rsid w:val="0015174B"/>
    <w:rsid w:val="0015209C"/>
    <w:rsid w:val="0015323A"/>
    <w:rsid w:val="0015569F"/>
    <w:rsid w:val="00155FAC"/>
    <w:rsid w:val="00156451"/>
    <w:rsid w:val="00156BE3"/>
    <w:rsid w:val="001571E7"/>
    <w:rsid w:val="00161097"/>
    <w:rsid w:val="00161667"/>
    <w:rsid w:val="00161FD2"/>
    <w:rsid w:val="001621F1"/>
    <w:rsid w:val="00162C10"/>
    <w:rsid w:val="00162FA1"/>
    <w:rsid w:val="001635AF"/>
    <w:rsid w:val="001647AC"/>
    <w:rsid w:val="00164ACE"/>
    <w:rsid w:val="00165E4D"/>
    <w:rsid w:val="001719BA"/>
    <w:rsid w:val="00172DA1"/>
    <w:rsid w:val="00173D4A"/>
    <w:rsid w:val="00174193"/>
    <w:rsid w:val="001763F2"/>
    <w:rsid w:val="0017654B"/>
    <w:rsid w:val="00176C63"/>
    <w:rsid w:val="00177187"/>
    <w:rsid w:val="00177B8C"/>
    <w:rsid w:val="00177D86"/>
    <w:rsid w:val="001805E8"/>
    <w:rsid w:val="0018226D"/>
    <w:rsid w:val="001831C2"/>
    <w:rsid w:val="001843B8"/>
    <w:rsid w:val="00185F4A"/>
    <w:rsid w:val="001864DF"/>
    <w:rsid w:val="0018717D"/>
    <w:rsid w:val="00187E0F"/>
    <w:rsid w:val="00191854"/>
    <w:rsid w:val="00193F26"/>
    <w:rsid w:val="00194825"/>
    <w:rsid w:val="00195810"/>
    <w:rsid w:val="00197870"/>
    <w:rsid w:val="00197956"/>
    <w:rsid w:val="001A2E23"/>
    <w:rsid w:val="001A3B4E"/>
    <w:rsid w:val="001A3E82"/>
    <w:rsid w:val="001A3EC9"/>
    <w:rsid w:val="001A48DD"/>
    <w:rsid w:val="001A4EC6"/>
    <w:rsid w:val="001A7D05"/>
    <w:rsid w:val="001A7E93"/>
    <w:rsid w:val="001B070A"/>
    <w:rsid w:val="001B0C2F"/>
    <w:rsid w:val="001B2865"/>
    <w:rsid w:val="001B4254"/>
    <w:rsid w:val="001B4766"/>
    <w:rsid w:val="001B4767"/>
    <w:rsid w:val="001B5151"/>
    <w:rsid w:val="001B6473"/>
    <w:rsid w:val="001B67F8"/>
    <w:rsid w:val="001B75E3"/>
    <w:rsid w:val="001B7C9E"/>
    <w:rsid w:val="001B7E73"/>
    <w:rsid w:val="001C0720"/>
    <w:rsid w:val="001C16B4"/>
    <w:rsid w:val="001C37CE"/>
    <w:rsid w:val="001C3DC6"/>
    <w:rsid w:val="001C4276"/>
    <w:rsid w:val="001C52CD"/>
    <w:rsid w:val="001C73DB"/>
    <w:rsid w:val="001D04D4"/>
    <w:rsid w:val="001D0DB4"/>
    <w:rsid w:val="001D1CBA"/>
    <w:rsid w:val="001D317C"/>
    <w:rsid w:val="001D4042"/>
    <w:rsid w:val="001D670D"/>
    <w:rsid w:val="001D6AC4"/>
    <w:rsid w:val="001E0D6F"/>
    <w:rsid w:val="001E0F89"/>
    <w:rsid w:val="001E4080"/>
    <w:rsid w:val="001E46FA"/>
    <w:rsid w:val="001E5071"/>
    <w:rsid w:val="001E5428"/>
    <w:rsid w:val="001E595D"/>
    <w:rsid w:val="001E619B"/>
    <w:rsid w:val="001E6361"/>
    <w:rsid w:val="001E649B"/>
    <w:rsid w:val="001E75CE"/>
    <w:rsid w:val="001E78F0"/>
    <w:rsid w:val="001E7B0D"/>
    <w:rsid w:val="001F01D1"/>
    <w:rsid w:val="001F1DAF"/>
    <w:rsid w:val="001F398D"/>
    <w:rsid w:val="001F4731"/>
    <w:rsid w:val="001F501E"/>
    <w:rsid w:val="001F5065"/>
    <w:rsid w:val="001F5BCE"/>
    <w:rsid w:val="001F6D61"/>
    <w:rsid w:val="00202593"/>
    <w:rsid w:val="00205496"/>
    <w:rsid w:val="00205E1D"/>
    <w:rsid w:val="00205F9E"/>
    <w:rsid w:val="002064B2"/>
    <w:rsid w:val="00206D65"/>
    <w:rsid w:val="00210884"/>
    <w:rsid w:val="00211282"/>
    <w:rsid w:val="002112C4"/>
    <w:rsid w:val="0021172E"/>
    <w:rsid w:val="0021206B"/>
    <w:rsid w:val="0021389B"/>
    <w:rsid w:val="002138E0"/>
    <w:rsid w:val="00213D8D"/>
    <w:rsid w:val="00213F8B"/>
    <w:rsid w:val="00214AE4"/>
    <w:rsid w:val="00216B57"/>
    <w:rsid w:val="00216F0B"/>
    <w:rsid w:val="00217070"/>
    <w:rsid w:val="00220D6D"/>
    <w:rsid w:val="00220F12"/>
    <w:rsid w:val="00221362"/>
    <w:rsid w:val="0022156C"/>
    <w:rsid w:val="002216D3"/>
    <w:rsid w:val="00221DF2"/>
    <w:rsid w:val="00222B13"/>
    <w:rsid w:val="00223394"/>
    <w:rsid w:val="002244F8"/>
    <w:rsid w:val="00224B31"/>
    <w:rsid w:val="00226236"/>
    <w:rsid w:val="002265FE"/>
    <w:rsid w:val="00226B29"/>
    <w:rsid w:val="00226F53"/>
    <w:rsid w:val="00227829"/>
    <w:rsid w:val="00230E64"/>
    <w:rsid w:val="0023193E"/>
    <w:rsid w:val="00231A03"/>
    <w:rsid w:val="00232A6B"/>
    <w:rsid w:val="00232EA3"/>
    <w:rsid w:val="00232F0D"/>
    <w:rsid w:val="002414BA"/>
    <w:rsid w:val="00242C81"/>
    <w:rsid w:val="00243357"/>
    <w:rsid w:val="00243365"/>
    <w:rsid w:val="00243513"/>
    <w:rsid w:val="00243AF0"/>
    <w:rsid w:val="00244452"/>
    <w:rsid w:val="00244F54"/>
    <w:rsid w:val="00245CDC"/>
    <w:rsid w:val="00245FBD"/>
    <w:rsid w:val="00246A88"/>
    <w:rsid w:val="00246AB9"/>
    <w:rsid w:val="00247F93"/>
    <w:rsid w:val="002508DB"/>
    <w:rsid w:val="002515EC"/>
    <w:rsid w:val="00254330"/>
    <w:rsid w:val="00256EDF"/>
    <w:rsid w:val="00257164"/>
    <w:rsid w:val="002573D0"/>
    <w:rsid w:val="00260B3E"/>
    <w:rsid w:val="0026185F"/>
    <w:rsid w:val="00262AE8"/>
    <w:rsid w:val="0026384A"/>
    <w:rsid w:val="0026391B"/>
    <w:rsid w:val="00263F5E"/>
    <w:rsid w:val="00270FFC"/>
    <w:rsid w:val="00271186"/>
    <w:rsid w:val="0027168C"/>
    <w:rsid w:val="00272446"/>
    <w:rsid w:val="002725E5"/>
    <w:rsid w:val="0027366C"/>
    <w:rsid w:val="002745A7"/>
    <w:rsid w:val="002768ED"/>
    <w:rsid w:val="00276EFF"/>
    <w:rsid w:val="00277B05"/>
    <w:rsid w:val="00277DA9"/>
    <w:rsid w:val="00280672"/>
    <w:rsid w:val="00280B72"/>
    <w:rsid w:val="002827E3"/>
    <w:rsid w:val="00283193"/>
    <w:rsid w:val="002831E5"/>
    <w:rsid w:val="00283CE1"/>
    <w:rsid w:val="00285448"/>
    <w:rsid w:val="00285762"/>
    <w:rsid w:val="00285C4C"/>
    <w:rsid w:val="00286053"/>
    <w:rsid w:val="002862B7"/>
    <w:rsid w:val="00286B68"/>
    <w:rsid w:val="00287428"/>
    <w:rsid w:val="0029010E"/>
    <w:rsid w:val="002901DC"/>
    <w:rsid w:val="00292CA6"/>
    <w:rsid w:val="002931CD"/>
    <w:rsid w:val="0029357B"/>
    <w:rsid w:val="00294BFF"/>
    <w:rsid w:val="0029510E"/>
    <w:rsid w:val="002958C7"/>
    <w:rsid w:val="00295955"/>
    <w:rsid w:val="002965AF"/>
    <w:rsid w:val="002966F8"/>
    <w:rsid w:val="00296C35"/>
    <w:rsid w:val="00297E06"/>
    <w:rsid w:val="002A02C5"/>
    <w:rsid w:val="002A05B9"/>
    <w:rsid w:val="002A3D7B"/>
    <w:rsid w:val="002A4B46"/>
    <w:rsid w:val="002A51DB"/>
    <w:rsid w:val="002A66AE"/>
    <w:rsid w:val="002A6AFF"/>
    <w:rsid w:val="002A7660"/>
    <w:rsid w:val="002B01B7"/>
    <w:rsid w:val="002B175A"/>
    <w:rsid w:val="002B28AA"/>
    <w:rsid w:val="002B2D8D"/>
    <w:rsid w:val="002B3772"/>
    <w:rsid w:val="002B3AFA"/>
    <w:rsid w:val="002B5413"/>
    <w:rsid w:val="002C24E7"/>
    <w:rsid w:val="002C2D90"/>
    <w:rsid w:val="002C40B2"/>
    <w:rsid w:val="002C5BA3"/>
    <w:rsid w:val="002C5F3A"/>
    <w:rsid w:val="002C6EAC"/>
    <w:rsid w:val="002C701F"/>
    <w:rsid w:val="002D0197"/>
    <w:rsid w:val="002D27F8"/>
    <w:rsid w:val="002D3223"/>
    <w:rsid w:val="002D745A"/>
    <w:rsid w:val="002D7830"/>
    <w:rsid w:val="002E0CD9"/>
    <w:rsid w:val="002E0CDB"/>
    <w:rsid w:val="002E1F4F"/>
    <w:rsid w:val="002E2CDC"/>
    <w:rsid w:val="002E318C"/>
    <w:rsid w:val="002E4E68"/>
    <w:rsid w:val="002E512B"/>
    <w:rsid w:val="002E5C67"/>
    <w:rsid w:val="002E6F46"/>
    <w:rsid w:val="002E7B4D"/>
    <w:rsid w:val="002F0C95"/>
    <w:rsid w:val="002F1161"/>
    <w:rsid w:val="002F2796"/>
    <w:rsid w:val="002F2C7F"/>
    <w:rsid w:val="002F309B"/>
    <w:rsid w:val="002F60B0"/>
    <w:rsid w:val="002F667E"/>
    <w:rsid w:val="00300177"/>
    <w:rsid w:val="00301B9E"/>
    <w:rsid w:val="00302149"/>
    <w:rsid w:val="003026AD"/>
    <w:rsid w:val="003039AB"/>
    <w:rsid w:val="00304207"/>
    <w:rsid w:val="00306A83"/>
    <w:rsid w:val="00310287"/>
    <w:rsid w:val="00310C74"/>
    <w:rsid w:val="00312D22"/>
    <w:rsid w:val="0031450A"/>
    <w:rsid w:val="00315263"/>
    <w:rsid w:val="00315EC3"/>
    <w:rsid w:val="003164A4"/>
    <w:rsid w:val="00320B87"/>
    <w:rsid w:val="00320E65"/>
    <w:rsid w:val="00321296"/>
    <w:rsid w:val="003247D2"/>
    <w:rsid w:val="003250D6"/>
    <w:rsid w:val="003263F7"/>
    <w:rsid w:val="00327A4E"/>
    <w:rsid w:val="00331DDD"/>
    <w:rsid w:val="00333C57"/>
    <w:rsid w:val="003343B0"/>
    <w:rsid w:val="00334A47"/>
    <w:rsid w:val="003350BF"/>
    <w:rsid w:val="00336637"/>
    <w:rsid w:val="00336823"/>
    <w:rsid w:val="00336FF9"/>
    <w:rsid w:val="003406A2"/>
    <w:rsid w:val="003428F8"/>
    <w:rsid w:val="0034540B"/>
    <w:rsid w:val="00345824"/>
    <w:rsid w:val="00346F55"/>
    <w:rsid w:val="00350291"/>
    <w:rsid w:val="00350C8E"/>
    <w:rsid w:val="00351485"/>
    <w:rsid w:val="003529CB"/>
    <w:rsid w:val="00353876"/>
    <w:rsid w:val="00353EB0"/>
    <w:rsid w:val="00354ECB"/>
    <w:rsid w:val="003556E7"/>
    <w:rsid w:val="00357AFF"/>
    <w:rsid w:val="0036108C"/>
    <w:rsid w:val="003610EE"/>
    <w:rsid w:val="003622A6"/>
    <w:rsid w:val="00362447"/>
    <w:rsid w:val="003633D8"/>
    <w:rsid w:val="003655EA"/>
    <w:rsid w:val="0036569A"/>
    <w:rsid w:val="0036579C"/>
    <w:rsid w:val="0036646C"/>
    <w:rsid w:val="00366897"/>
    <w:rsid w:val="003718F7"/>
    <w:rsid w:val="00371A92"/>
    <w:rsid w:val="00371C3E"/>
    <w:rsid w:val="00372574"/>
    <w:rsid w:val="00372D8A"/>
    <w:rsid w:val="00375AD6"/>
    <w:rsid w:val="00376AF5"/>
    <w:rsid w:val="00380736"/>
    <w:rsid w:val="0038081E"/>
    <w:rsid w:val="00381960"/>
    <w:rsid w:val="00383DEB"/>
    <w:rsid w:val="00384D40"/>
    <w:rsid w:val="00385181"/>
    <w:rsid w:val="00387D24"/>
    <w:rsid w:val="00387E93"/>
    <w:rsid w:val="003907FD"/>
    <w:rsid w:val="00390A42"/>
    <w:rsid w:val="0039114B"/>
    <w:rsid w:val="00391E62"/>
    <w:rsid w:val="003924AB"/>
    <w:rsid w:val="00392D42"/>
    <w:rsid w:val="00393091"/>
    <w:rsid w:val="003943DC"/>
    <w:rsid w:val="00394E4A"/>
    <w:rsid w:val="00396305"/>
    <w:rsid w:val="00396A7B"/>
    <w:rsid w:val="00396FD7"/>
    <w:rsid w:val="003A08C9"/>
    <w:rsid w:val="003A1035"/>
    <w:rsid w:val="003A24A8"/>
    <w:rsid w:val="003A29B1"/>
    <w:rsid w:val="003A3FAC"/>
    <w:rsid w:val="003A5C50"/>
    <w:rsid w:val="003A5EA0"/>
    <w:rsid w:val="003A5F52"/>
    <w:rsid w:val="003A61BA"/>
    <w:rsid w:val="003A7F44"/>
    <w:rsid w:val="003B124D"/>
    <w:rsid w:val="003B23AF"/>
    <w:rsid w:val="003B2697"/>
    <w:rsid w:val="003B2D94"/>
    <w:rsid w:val="003B463D"/>
    <w:rsid w:val="003B4809"/>
    <w:rsid w:val="003B527D"/>
    <w:rsid w:val="003B59E7"/>
    <w:rsid w:val="003B62C9"/>
    <w:rsid w:val="003B780D"/>
    <w:rsid w:val="003B7FB4"/>
    <w:rsid w:val="003C029D"/>
    <w:rsid w:val="003C0321"/>
    <w:rsid w:val="003C1035"/>
    <w:rsid w:val="003C16A8"/>
    <w:rsid w:val="003C25DB"/>
    <w:rsid w:val="003C2C3E"/>
    <w:rsid w:val="003C2C9F"/>
    <w:rsid w:val="003C3385"/>
    <w:rsid w:val="003C4786"/>
    <w:rsid w:val="003C4BCD"/>
    <w:rsid w:val="003C59DB"/>
    <w:rsid w:val="003C6EC2"/>
    <w:rsid w:val="003D039D"/>
    <w:rsid w:val="003D1398"/>
    <w:rsid w:val="003D2319"/>
    <w:rsid w:val="003D2E98"/>
    <w:rsid w:val="003D316A"/>
    <w:rsid w:val="003D356D"/>
    <w:rsid w:val="003D3D34"/>
    <w:rsid w:val="003D6D38"/>
    <w:rsid w:val="003E0E0C"/>
    <w:rsid w:val="003E10C7"/>
    <w:rsid w:val="003E188E"/>
    <w:rsid w:val="003E1B7E"/>
    <w:rsid w:val="003E20C4"/>
    <w:rsid w:val="003E2F84"/>
    <w:rsid w:val="003E3E05"/>
    <w:rsid w:val="003E4A32"/>
    <w:rsid w:val="003E5A4C"/>
    <w:rsid w:val="003E600B"/>
    <w:rsid w:val="003E7C2E"/>
    <w:rsid w:val="003F15FD"/>
    <w:rsid w:val="003F2852"/>
    <w:rsid w:val="003F2D53"/>
    <w:rsid w:val="003F2E27"/>
    <w:rsid w:val="003F3B89"/>
    <w:rsid w:val="003F577D"/>
    <w:rsid w:val="003F5EA1"/>
    <w:rsid w:val="003F7504"/>
    <w:rsid w:val="003F7C5B"/>
    <w:rsid w:val="00402C46"/>
    <w:rsid w:val="00403124"/>
    <w:rsid w:val="00403484"/>
    <w:rsid w:val="0040352B"/>
    <w:rsid w:val="00403680"/>
    <w:rsid w:val="00403AD7"/>
    <w:rsid w:val="00403E93"/>
    <w:rsid w:val="00404EC0"/>
    <w:rsid w:val="004050BB"/>
    <w:rsid w:val="00410B4C"/>
    <w:rsid w:val="00411F6D"/>
    <w:rsid w:val="00412188"/>
    <w:rsid w:val="00422F8C"/>
    <w:rsid w:val="0042485B"/>
    <w:rsid w:val="00426C7C"/>
    <w:rsid w:val="00427CE8"/>
    <w:rsid w:val="00427F7A"/>
    <w:rsid w:val="00430F56"/>
    <w:rsid w:val="0043160B"/>
    <w:rsid w:val="004356DB"/>
    <w:rsid w:val="00436B26"/>
    <w:rsid w:val="00437B7C"/>
    <w:rsid w:val="0044097E"/>
    <w:rsid w:val="00440BF0"/>
    <w:rsid w:val="004427B1"/>
    <w:rsid w:val="00442D49"/>
    <w:rsid w:val="00444145"/>
    <w:rsid w:val="0044580C"/>
    <w:rsid w:val="00445CFF"/>
    <w:rsid w:val="00447352"/>
    <w:rsid w:val="004478DE"/>
    <w:rsid w:val="00447E07"/>
    <w:rsid w:val="004502E7"/>
    <w:rsid w:val="00451C41"/>
    <w:rsid w:val="004529C0"/>
    <w:rsid w:val="004536F0"/>
    <w:rsid w:val="004541D5"/>
    <w:rsid w:val="004560D2"/>
    <w:rsid w:val="0045641C"/>
    <w:rsid w:val="00456970"/>
    <w:rsid w:val="00457B09"/>
    <w:rsid w:val="00460346"/>
    <w:rsid w:val="0046170A"/>
    <w:rsid w:val="0046220B"/>
    <w:rsid w:val="00464BF6"/>
    <w:rsid w:val="00465661"/>
    <w:rsid w:val="004656E4"/>
    <w:rsid w:val="0046576C"/>
    <w:rsid w:val="0046576E"/>
    <w:rsid w:val="0046583C"/>
    <w:rsid w:val="00465E13"/>
    <w:rsid w:val="00466404"/>
    <w:rsid w:val="004679C5"/>
    <w:rsid w:val="00471B16"/>
    <w:rsid w:val="004721DF"/>
    <w:rsid w:val="00472687"/>
    <w:rsid w:val="004726EB"/>
    <w:rsid w:val="00472F43"/>
    <w:rsid w:val="00473CD6"/>
    <w:rsid w:val="004747EC"/>
    <w:rsid w:val="00474C7F"/>
    <w:rsid w:val="00476047"/>
    <w:rsid w:val="004760A7"/>
    <w:rsid w:val="00477161"/>
    <w:rsid w:val="00477D3F"/>
    <w:rsid w:val="00480C57"/>
    <w:rsid w:val="00481F54"/>
    <w:rsid w:val="00484E08"/>
    <w:rsid w:val="00485231"/>
    <w:rsid w:val="00487327"/>
    <w:rsid w:val="00487726"/>
    <w:rsid w:val="00487D55"/>
    <w:rsid w:val="004948CB"/>
    <w:rsid w:val="00495C00"/>
    <w:rsid w:val="004960E6"/>
    <w:rsid w:val="00496FB7"/>
    <w:rsid w:val="004975FF"/>
    <w:rsid w:val="004A057A"/>
    <w:rsid w:val="004A0864"/>
    <w:rsid w:val="004A1A82"/>
    <w:rsid w:val="004A3238"/>
    <w:rsid w:val="004A56BC"/>
    <w:rsid w:val="004A59B5"/>
    <w:rsid w:val="004A646B"/>
    <w:rsid w:val="004A7DC2"/>
    <w:rsid w:val="004B04FB"/>
    <w:rsid w:val="004B0FD0"/>
    <w:rsid w:val="004B117E"/>
    <w:rsid w:val="004B1BC4"/>
    <w:rsid w:val="004B2086"/>
    <w:rsid w:val="004B253E"/>
    <w:rsid w:val="004B37E1"/>
    <w:rsid w:val="004B3AD6"/>
    <w:rsid w:val="004B50A9"/>
    <w:rsid w:val="004B5243"/>
    <w:rsid w:val="004B57D7"/>
    <w:rsid w:val="004B737F"/>
    <w:rsid w:val="004B7BF9"/>
    <w:rsid w:val="004B7D9B"/>
    <w:rsid w:val="004C079C"/>
    <w:rsid w:val="004C3F89"/>
    <w:rsid w:val="004C496B"/>
    <w:rsid w:val="004C4973"/>
    <w:rsid w:val="004D0353"/>
    <w:rsid w:val="004D0FE2"/>
    <w:rsid w:val="004D1136"/>
    <w:rsid w:val="004D3ABE"/>
    <w:rsid w:val="004D42D6"/>
    <w:rsid w:val="004D45E2"/>
    <w:rsid w:val="004D4EA5"/>
    <w:rsid w:val="004D629B"/>
    <w:rsid w:val="004D7001"/>
    <w:rsid w:val="004D722A"/>
    <w:rsid w:val="004E06C7"/>
    <w:rsid w:val="004E07AA"/>
    <w:rsid w:val="004E109F"/>
    <w:rsid w:val="004E1233"/>
    <w:rsid w:val="004E1A87"/>
    <w:rsid w:val="004E1ECA"/>
    <w:rsid w:val="004E2107"/>
    <w:rsid w:val="004E2AFB"/>
    <w:rsid w:val="004E2D1D"/>
    <w:rsid w:val="004E2DE3"/>
    <w:rsid w:val="004E3159"/>
    <w:rsid w:val="004E4B29"/>
    <w:rsid w:val="004E656D"/>
    <w:rsid w:val="004E7573"/>
    <w:rsid w:val="004F0293"/>
    <w:rsid w:val="004F0BBA"/>
    <w:rsid w:val="004F1DCD"/>
    <w:rsid w:val="004F2E5F"/>
    <w:rsid w:val="004F34D4"/>
    <w:rsid w:val="004F41BD"/>
    <w:rsid w:val="004F5A8E"/>
    <w:rsid w:val="004F63FF"/>
    <w:rsid w:val="00500321"/>
    <w:rsid w:val="00500D8A"/>
    <w:rsid w:val="00504FFE"/>
    <w:rsid w:val="005059C2"/>
    <w:rsid w:val="00507B9E"/>
    <w:rsid w:val="00507BE3"/>
    <w:rsid w:val="00510162"/>
    <w:rsid w:val="005104FD"/>
    <w:rsid w:val="00510D05"/>
    <w:rsid w:val="0051101E"/>
    <w:rsid w:val="00511E59"/>
    <w:rsid w:val="00511FCF"/>
    <w:rsid w:val="00513736"/>
    <w:rsid w:val="005143AA"/>
    <w:rsid w:val="00514E37"/>
    <w:rsid w:val="00516196"/>
    <w:rsid w:val="00520B80"/>
    <w:rsid w:val="005218E2"/>
    <w:rsid w:val="00521F1F"/>
    <w:rsid w:val="005230F5"/>
    <w:rsid w:val="005251C3"/>
    <w:rsid w:val="00525520"/>
    <w:rsid w:val="00526B7E"/>
    <w:rsid w:val="00526CFA"/>
    <w:rsid w:val="00526F17"/>
    <w:rsid w:val="00527030"/>
    <w:rsid w:val="0052777E"/>
    <w:rsid w:val="0053078A"/>
    <w:rsid w:val="0053081B"/>
    <w:rsid w:val="00530A84"/>
    <w:rsid w:val="00530E3B"/>
    <w:rsid w:val="005317FF"/>
    <w:rsid w:val="005330F5"/>
    <w:rsid w:val="005345A0"/>
    <w:rsid w:val="005346DE"/>
    <w:rsid w:val="00534CFF"/>
    <w:rsid w:val="005361E9"/>
    <w:rsid w:val="00536AD3"/>
    <w:rsid w:val="005424E7"/>
    <w:rsid w:val="00544FC6"/>
    <w:rsid w:val="005455FD"/>
    <w:rsid w:val="00545709"/>
    <w:rsid w:val="00546632"/>
    <w:rsid w:val="00546BD3"/>
    <w:rsid w:val="00547A45"/>
    <w:rsid w:val="00551A4D"/>
    <w:rsid w:val="00551B02"/>
    <w:rsid w:val="00551B7F"/>
    <w:rsid w:val="00553086"/>
    <w:rsid w:val="00553BAD"/>
    <w:rsid w:val="00554070"/>
    <w:rsid w:val="005542A0"/>
    <w:rsid w:val="00554D42"/>
    <w:rsid w:val="005555F3"/>
    <w:rsid w:val="00555C95"/>
    <w:rsid w:val="00560D7C"/>
    <w:rsid w:val="00560FFF"/>
    <w:rsid w:val="00562763"/>
    <w:rsid w:val="00563FBE"/>
    <w:rsid w:val="0056438D"/>
    <w:rsid w:val="005643B9"/>
    <w:rsid w:val="00564ABC"/>
    <w:rsid w:val="005655F6"/>
    <w:rsid w:val="005669C0"/>
    <w:rsid w:val="00570F99"/>
    <w:rsid w:val="00572676"/>
    <w:rsid w:val="005738D9"/>
    <w:rsid w:val="00573A84"/>
    <w:rsid w:val="00574813"/>
    <w:rsid w:val="00574856"/>
    <w:rsid w:val="00574998"/>
    <w:rsid w:val="00576B48"/>
    <w:rsid w:val="00580B88"/>
    <w:rsid w:val="0058447D"/>
    <w:rsid w:val="005846E7"/>
    <w:rsid w:val="00584F3D"/>
    <w:rsid w:val="00585AF7"/>
    <w:rsid w:val="005865AF"/>
    <w:rsid w:val="00586A71"/>
    <w:rsid w:val="00587191"/>
    <w:rsid w:val="00587F50"/>
    <w:rsid w:val="00590729"/>
    <w:rsid w:val="0059153D"/>
    <w:rsid w:val="00592EC2"/>
    <w:rsid w:val="00592F62"/>
    <w:rsid w:val="0059331E"/>
    <w:rsid w:val="00593389"/>
    <w:rsid w:val="00593A82"/>
    <w:rsid w:val="00594820"/>
    <w:rsid w:val="00594CB5"/>
    <w:rsid w:val="00594E57"/>
    <w:rsid w:val="00595B4E"/>
    <w:rsid w:val="00596A6E"/>
    <w:rsid w:val="005A3049"/>
    <w:rsid w:val="005A5E1C"/>
    <w:rsid w:val="005A5FE6"/>
    <w:rsid w:val="005A703C"/>
    <w:rsid w:val="005A7A09"/>
    <w:rsid w:val="005B00A0"/>
    <w:rsid w:val="005B1973"/>
    <w:rsid w:val="005B1EA9"/>
    <w:rsid w:val="005B2927"/>
    <w:rsid w:val="005B3E20"/>
    <w:rsid w:val="005B4AEF"/>
    <w:rsid w:val="005B5A6E"/>
    <w:rsid w:val="005B5C87"/>
    <w:rsid w:val="005B5D8F"/>
    <w:rsid w:val="005B6BB8"/>
    <w:rsid w:val="005C0B25"/>
    <w:rsid w:val="005C184D"/>
    <w:rsid w:val="005C1C7B"/>
    <w:rsid w:val="005C34C5"/>
    <w:rsid w:val="005C3552"/>
    <w:rsid w:val="005C3632"/>
    <w:rsid w:val="005C4E35"/>
    <w:rsid w:val="005C792A"/>
    <w:rsid w:val="005D05C3"/>
    <w:rsid w:val="005D1251"/>
    <w:rsid w:val="005D1827"/>
    <w:rsid w:val="005D1850"/>
    <w:rsid w:val="005D2284"/>
    <w:rsid w:val="005D248A"/>
    <w:rsid w:val="005D697A"/>
    <w:rsid w:val="005E089A"/>
    <w:rsid w:val="005E0CBD"/>
    <w:rsid w:val="005E12CF"/>
    <w:rsid w:val="005E13B1"/>
    <w:rsid w:val="005E1444"/>
    <w:rsid w:val="005E1AC4"/>
    <w:rsid w:val="005E35CC"/>
    <w:rsid w:val="005E3AC5"/>
    <w:rsid w:val="005E42AE"/>
    <w:rsid w:val="005E56B4"/>
    <w:rsid w:val="005E6693"/>
    <w:rsid w:val="005F0076"/>
    <w:rsid w:val="005F0437"/>
    <w:rsid w:val="005F0D91"/>
    <w:rsid w:val="005F363F"/>
    <w:rsid w:val="005F5AA5"/>
    <w:rsid w:val="005F5B68"/>
    <w:rsid w:val="005F7000"/>
    <w:rsid w:val="005F768F"/>
    <w:rsid w:val="00600724"/>
    <w:rsid w:val="006011FA"/>
    <w:rsid w:val="00601D73"/>
    <w:rsid w:val="00602CD6"/>
    <w:rsid w:val="006030F8"/>
    <w:rsid w:val="006053E6"/>
    <w:rsid w:val="00607535"/>
    <w:rsid w:val="00607905"/>
    <w:rsid w:val="00607C12"/>
    <w:rsid w:val="00611CA0"/>
    <w:rsid w:val="00612202"/>
    <w:rsid w:val="0061255C"/>
    <w:rsid w:val="006125B2"/>
    <w:rsid w:val="006142A2"/>
    <w:rsid w:val="00614E7A"/>
    <w:rsid w:val="006167C9"/>
    <w:rsid w:val="006173E0"/>
    <w:rsid w:val="0062041D"/>
    <w:rsid w:val="00620CB6"/>
    <w:rsid w:val="006239A9"/>
    <w:rsid w:val="006349D8"/>
    <w:rsid w:val="00634BE8"/>
    <w:rsid w:val="00635772"/>
    <w:rsid w:val="00635FB8"/>
    <w:rsid w:val="00636E92"/>
    <w:rsid w:val="00637425"/>
    <w:rsid w:val="00637C5B"/>
    <w:rsid w:val="00640145"/>
    <w:rsid w:val="00640EEF"/>
    <w:rsid w:val="00641370"/>
    <w:rsid w:val="00642B70"/>
    <w:rsid w:val="006436B8"/>
    <w:rsid w:val="00644D11"/>
    <w:rsid w:val="00651AE8"/>
    <w:rsid w:val="00653646"/>
    <w:rsid w:val="00653EF8"/>
    <w:rsid w:val="00653F68"/>
    <w:rsid w:val="00655B4B"/>
    <w:rsid w:val="006562D9"/>
    <w:rsid w:val="006571A7"/>
    <w:rsid w:val="0065743B"/>
    <w:rsid w:val="006578B9"/>
    <w:rsid w:val="00657BBE"/>
    <w:rsid w:val="00657D39"/>
    <w:rsid w:val="0066016B"/>
    <w:rsid w:val="006609EA"/>
    <w:rsid w:val="00662A15"/>
    <w:rsid w:val="0066308E"/>
    <w:rsid w:val="00663573"/>
    <w:rsid w:val="006647E2"/>
    <w:rsid w:val="006648D8"/>
    <w:rsid w:val="00666101"/>
    <w:rsid w:val="0066666F"/>
    <w:rsid w:val="00666DCC"/>
    <w:rsid w:val="00670565"/>
    <w:rsid w:val="006712E8"/>
    <w:rsid w:val="0067153E"/>
    <w:rsid w:val="00671907"/>
    <w:rsid w:val="00672411"/>
    <w:rsid w:val="00673CE1"/>
    <w:rsid w:val="00675B7B"/>
    <w:rsid w:val="0067721A"/>
    <w:rsid w:val="00677C19"/>
    <w:rsid w:val="006844A0"/>
    <w:rsid w:val="00691046"/>
    <w:rsid w:val="0069121D"/>
    <w:rsid w:val="006940AA"/>
    <w:rsid w:val="006947AA"/>
    <w:rsid w:val="00695002"/>
    <w:rsid w:val="00695061"/>
    <w:rsid w:val="0069609C"/>
    <w:rsid w:val="006A0C2E"/>
    <w:rsid w:val="006A0F75"/>
    <w:rsid w:val="006A123E"/>
    <w:rsid w:val="006A26FA"/>
    <w:rsid w:val="006A3FC1"/>
    <w:rsid w:val="006A4561"/>
    <w:rsid w:val="006A46A5"/>
    <w:rsid w:val="006A4E62"/>
    <w:rsid w:val="006A63C9"/>
    <w:rsid w:val="006A799B"/>
    <w:rsid w:val="006A7EE2"/>
    <w:rsid w:val="006B24BD"/>
    <w:rsid w:val="006B28B1"/>
    <w:rsid w:val="006B4123"/>
    <w:rsid w:val="006B4469"/>
    <w:rsid w:val="006B4B56"/>
    <w:rsid w:val="006B5868"/>
    <w:rsid w:val="006B603A"/>
    <w:rsid w:val="006C360B"/>
    <w:rsid w:val="006C5BF3"/>
    <w:rsid w:val="006D0CF2"/>
    <w:rsid w:val="006D1299"/>
    <w:rsid w:val="006D1D28"/>
    <w:rsid w:val="006D1D2D"/>
    <w:rsid w:val="006D2017"/>
    <w:rsid w:val="006D22FE"/>
    <w:rsid w:val="006D26A5"/>
    <w:rsid w:val="006D2C01"/>
    <w:rsid w:val="006D3AD6"/>
    <w:rsid w:val="006D3BDB"/>
    <w:rsid w:val="006D408F"/>
    <w:rsid w:val="006D412F"/>
    <w:rsid w:val="006D4997"/>
    <w:rsid w:val="006D5BFF"/>
    <w:rsid w:val="006D71D7"/>
    <w:rsid w:val="006E1138"/>
    <w:rsid w:val="006E113C"/>
    <w:rsid w:val="006E1E6D"/>
    <w:rsid w:val="006E2C3D"/>
    <w:rsid w:val="006E47DB"/>
    <w:rsid w:val="006E64D7"/>
    <w:rsid w:val="006E76FA"/>
    <w:rsid w:val="006F125B"/>
    <w:rsid w:val="006F1FEC"/>
    <w:rsid w:val="006F2B61"/>
    <w:rsid w:val="006F2BE7"/>
    <w:rsid w:val="006F562E"/>
    <w:rsid w:val="006F5669"/>
    <w:rsid w:val="006F5800"/>
    <w:rsid w:val="006F595D"/>
    <w:rsid w:val="00702388"/>
    <w:rsid w:val="0070423D"/>
    <w:rsid w:val="00704267"/>
    <w:rsid w:val="0070575B"/>
    <w:rsid w:val="00705BCA"/>
    <w:rsid w:val="00707DCF"/>
    <w:rsid w:val="007103AE"/>
    <w:rsid w:val="007125CB"/>
    <w:rsid w:val="00712DE7"/>
    <w:rsid w:val="00713D1C"/>
    <w:rsid w:val="007144A9"/>
    <w:rsid w:val="00715B85"/>
    <w:rsid w:val="00716C84"/>
    <w:rsid w:val="007170B6"/>
    <w:rsid w:val="00717734"/>
    <w:rsid w:val="0072021C"/>
    <w:rsid w:val="00721070"/>
    <w:rsid w:val="00721A7E"/>
    <w:rsid w:val="00721C5B"/>
    <w:rsid w:val="00723174"/>
    <w:rsid w:val="0072327A"/>
    <w:rsid w:val="007233C1"/>
    <w:rsid w:val="007246CC"/>
    <w:rsid w:val="0072717F"/>
    <w:rsid w:val="0072748B"/>
    <w:rsid w:val="007301F2"/>
    <w:rsid w:val="00732BA9"/>
    <w:rsid w:val="00732F27"/>
    <w:rsid w:val="00733368"/>
    <w:rsid w:val="00733F8A"/>
    <w:rsid w:val="00734145"/>
    <w:rsid w:val="00734148"/>
    <w:rsid w:val="00734C62"/>
    <w:rsid w:val="00735572"/>
    <w:rsid w:val="007358CD"/>
    <w:rsid w:val="007366C4"/>
    <w:rsid w:val="00737E54"/>
    <w:rsid w:val="00740649"/>
    <w:rsid w:val="00741651"/>
    <w:rsid w:val="007416AF"/>
    <w:rsid w:val="00741A02"/>
    <w:rsid w:val="00742C0E"/>
    <w:rsid w:val="00744EBC"/>
    <w:rsid w:val="007455AA"/>
    <w:rsid w:val="00745D74"/>
    <w:rsid w:val="007460EC"/>
    <w:rsid w:val="007477AB"/>
    <w:rsid w:val="00747FCD"/>
    <w:rsid w:val="00750AF5"/>
    <w:rsid w:val="00750F38"/>
    <w:rsid w:val="007520BB"/>
    <w:rsid w:val="007528FB"/>
    <w:rsid w:val="00753932"/>
    <w:rsid w:val="00753AE2"/>
    <w:rsid w:val="0075402F"/>
    <w:rsid w:val="00754779"/>
    <w:rsid w:val="0075627C"/>
    <w:rsid w:val="0076012C"/>
    <w:rsid w:val="007613E4"/>
    <w:rsid w:val="00761C0F"/>
    <w:rsid w:val="00763D4B"/>
    <w:rsid w:val="00764B56"/>
    <w:rsid w:val="00764CFE"/>
    <w:rsid w:val="00765A54"/>
    <w:rsid w:val="00765CD3"/>
    <w:rsid w:val="00765D3C"/>
    <w:rsid w:val="007666A7"/>
    <w:rsid w:val="007701C2"/>
    <w:rsid w:val="0077266D"/>
    <w:rsid w:val="007749B2"/>
    <w:rsid w:val="00776491"/>
    <w:rsid w:val="00776A76"/>
    <w:rsid w:val="00777492"/>
    <w:rsid w:val="00777C72"/>
    <w:rsid w:val="00780990"/>
    <w:rsid w:val="00780D96"/>
    <w:rsid w:val="00781690"/>
    <w:rsid w:val="007822B9"/>
    <w:rsid w:val="0078365E"/>
    <w:rsid w:val="0078463E"/>
    <w:rsid w:val="00785200"/>
    <w:rsid w:val="00785268"/>
    <w:rsid w:val="00786D8D"/>
    <w:rsid w:val="00790661"/>
    <w:rsid w:val="007928A9"/>
    <w:rsid w:val="00793E6F"/>
    <w:rsid w:val="00795AB5"/>
    <w:rsid w:val="0079712E"/>
    <w:rsid w:val="00797409"/>
    <w:rsid w:val="007A3A8E"/>
    <w:rsid w:val="007A6026"/>
    <w:rsid w:val="007A78D7"/>
    <w:rsid w:val="007B2933"/>
    <w:rsid w:val="007B2C5D"/>
    <w:rsid w:val="007B349F"/>
    <w:rsid w:val="007B4540"/>
    <w:rsid w:val="007B5826"/>
    <w:rsid w:val="007B5B00"/>
    <w:rsid w:val="007B5B24"/>
    <w:rsid w:val="007B7439"/>
    <w:rsid w:val="007C0EAE"/>
    <w:rsid w:val="007C0EF8"/>
    <w:rsid w:val="007C1226"/>
    <w:rsid w:val="007C2CEC"/>
    <w:rsid w:val="007C3E5E"/>
    <w:rsid w:val="007C48D8"/>
    <w:rsid w:val="007C5DE0"/>
    <w:rsid w:val="007C66F8"/>
    <w:rsid w:val="007D1506"/>
    <w:rsid w:val="007D41AA"/>
    <w:rsid w:val="007D62D7"/>
    <w:rsid w:val="007E02D9"/>
    <w:rsid w:val="007E040B"/>
    <w:rsid w:val="007E1675"/>
    <w:rsid w:val="007E21D1"/>
    <w:rsid w:val="007E32A9"/>
    <w:rsid w:val="007E74FF"/>
    <w:rsid w:val="007E7E0E"/>
    <w:rsid w:val="007F0B5C"/>
    <w:rsid w:val="007F0E0A"/>
    <w:rsid w:val="007F297A"/>
    <w:rsid w:val="007F51F1"/>
    <w:rsid w:val="007F6334"/>
    <w:rsid w:val="007F6BB7"/>
    <w:rsid w:val="007F78E9"/>
    <w:rsid w:val="008001AB"/>
    <w:rsid w:val="00803F47"/>
    <w:rsid w:val="00805404"/>
    <w:rsid w:val="00807312"/>
    <w:rsid w:val="0080731C"/>
    <w:rsid w:val="00812305"/>
    <w:rsid w:val="00813A94"/>
    <w:rsid w:val="008144EB"/>
    <w:rsid w:val="0081562D"/>
    <w:rsid w:val="00816FC8"/>
    <w:rsid w:val="00820092"/>
    <w:rsid w:val="00820F44"/>
    <w:rsid w:val="0082344F"/>
    <w:rsid w:val="00824C38"/>
    <w:rsid w:val="008274D4"/>
    <w:rsid w:val="008276CB"/>
    <w:rsid w:val="008303B5"/>
    <w:rsid w:val="00832F9C"/>
    <w:rsid w:val="00833D8B"/>
    <w:rsid w:val="00834295"/>
    <w:rsid w:val="00835405"/>
    <w:rsid w:val="008355DF"/>
    <w:rsid w:val="00836905"/>
    <w:rsid w:val="0084295E"/>
    <w:rsid w:val="00842E00"/>
    <w:rsid w:val="008448CE"/>
    <w:rsid w:val="0084694E"/>
    <w:rsid w:val="008505CB"/>
    <w:rsid w:val="00851AAD"/>
    <w:rsid w:val="00852169"/>
    <w:rsid w:val="0085225B"/>
    <w:rsid w:val="00853114"/>
    <w:rsid w:val="00853BD8"/>
    <w:rsid w:val="00853DA2"/>
    <w:rsid w:val="00853F22"/>
    <w:rsid w:val="00855159"/>
    <w:rsid w:val="00855B28"/>
    <w:rsid w:val="0085674B"/>
    <w:rsid w:val="00857DB6"/>
    <w:rsid w:val="0086178D"/>
    <w:rsid w:val="00861D53"/>
    <w:rsid w:val="00862AA8"/>
    <w:rsid w:val="00862B92"/>
    <w:rsid w:val="008638BC"/>
    <w:rsid w:val="0086462A"/>
    <w:rsid w:val="00865D9B"/>
    <w:rsid w:val="00866B9F"/>
    <w:rsid w:val="00866E07"/>
    <w:rsid w:val="00867E1F"/>
    <w:rsid w:val="008705F2"/>
    <w:rsid w:val="00870D05"/>
    <w:rsid w:val="00870F32"/>
    <w:rsid w:val="0087119F"/>
    <w:rsid w:val="00872CE1"/>
    <w:rsid w:val="008730CD"/>
    <w:rsid w:val="0087336C"/>
    <w:rsid w:val="00873976"/>
    <w:rsid w:val="0087399D"/>
    <w:rsid w:val="00875A65"/>
    <w:rsid w:val="0087651A"/>
    <w:rsid w:val="008769A8"/>
    <w:rsid w:val="00876BF6"/>
    <w:rsid w:val="0087725E"/>
    <w:rsid w:val="00881FF6"/>
    <w:rsid w:val="00882413"/>
    <w:rsid w:val="00882E18"/>
    <w:rsid w:val="0088392A"/>
    <w:rsid w:val="0088524C"/>
    <w:rsid w:val="00886C6E"/>
    <w:rsid w:val="008908B9"/>
    <w:rsid w:val="00892D08"/>
    <w:rsid w:val="00892EF0"/>
    <w:rsid w:val="0089355B"/>
    <w:rsid w:val="00893A95"/>
    <w:rsid w:val="008945AF"/>
    <w:rsid w:val="0089512B"/>
    <w:rsid w:val="0089673D"/>
    <w:rsid w:val="0089689C"/>
    <w:rsid w:val="00896CAF"/>
    <w:rsid w:val="008A0509"/>
    <w:rsid w:val="008A0D75"/>
    <w:rsid w:val="008A32A2"/>
    <w:rsid w:val="008A39D5"/>
    <w:rsid w:val="008A4194"/>
    <w:rsid w:val="008A45FB"/>
    <w:rsid w:val="008A561C"/>
    <w:rsid w:val="008A63B2"/>
    <w:rsid w:val="008B1EF4"/>
    <w:rsid w:val="008B224E"/>
    <w:rsid w:val="008B3895"/>
    <w:rsid w:val="008B63DC"/>
    <w:rsid w:val="008B732D"/>
    <w:rsid w:val="008C0536"/>
    <w:rsid w:val="008C0CAF"/>
    <w:rsid w:val="008C196C"/>
    <w:rsid w:val="008C19B5"/>
    <w:rsid w:val="008C1B25"/>
    <w:rsid w:val="008C3B11"/>
    <w:rsid w:val="008C49C4"/>
    <w:rsid w:val="008C53AE"/>
    <w:rsid w:val="008C5A93"/>
    <w:rsid w:val="008C74DF"/>
    <w:rsid w:val="008C7F42"/>
    <w:rsid w:val="008C7FD7"/>
    <w:rsid w:val="008D01AC"/>
    <w:rsid w:val="008D2A2B"/>
    <w:rsid w:val="008D2D4D"/>
    <w:rsid w:val="008D2EF6"/>
    <w:rsid w:val="008D2F81"/>
    <w:rsid w:val="008D31A2"/>
    <w:rsid w:val="008D31B3"/>
    <w:rsid w:val="008D4011"/>
    <w:rsid w:val="008D4A1B"/>
    <w:rsid w:val="008D590B"/>
    <w:rsid w:val="008D6840"/>
    <w:rsid w:val="008E01EC"/>
    <w:rsid w:val="008E0B96"/>
    <w:rsid w:val="008E0FDF"/>
    <w:rsid w:val="008E14C7"/>
    <w:rsid w:val="008E2E06"/>
    <w:rsid w:val="008E3FC1"/>
    <w:rsid w:val="008E5290"/>
    <w:rsid w:val="008E5B5F"/>
    <w:rsid w:val="008F01CE"/>
    <w:rsid w:val="008F094F"/>
    <w:rsid w:val="008F2032"/>
    <w:rsid w:val="008F20CF"/>
    <w:rsid w:val="008F3093"/>
    <w:rsid w:val="008F313E"/>
    <w:rsid w:val="008F4735"/>
    <w:rsid w:val="008F5903"/>
    <w:rsid w:val="00901B82"/>
    <w:rsid w:val="009021D2"/>
    <w:rsid w:val="00902587"/>
    <w:rsid w:val="0090289C"/>
    <w:rsid w:val="0090366C"/>
    <w:rsid w:val="00903906"/>
    <w:rsid w:val="00904075"/>
    <w:rsid w:val="00904B40"/>
    <w:rsid w:val="00905A92"/>
    <w:rsid w:val="0090641E"/>
    <w:rsid w:val="00910228"/>
    <w:rsid w:val="00910A76"/>
    <w:rsid w:val="00912ECE"/>
    <w:rsid w:val="009138E7"/>
    <w:rsid w:val="0091434A"/>
    <w:rsid w:val="009143A9"/>
    <w:rsid w:val="0091520D"/>
    <w:rsid w:val="00915776"/>
    <w:rsid w:val="0091626F"/>
    <w:rsid w:val="00916B8C"/>
    <w:rsid w:val="00917553"/>
    <w:rsid w:val="00917771"/>
    <w:rsid w:val="009216DD"/>
    <w:rsid w:val="00922FC3"/>
    <w:rsid w:val="0092391A"/>
    <w:rsid w:val="009257D5"/>
    <w:rsid w:val="00926EAC"/>
    <w:rsid w:val="009272EC"/>
    <w:rsid w:val="00927302"/>
    <w:rsid w:val="009273AF"/>
    <w:rsid w:val="00930559"/>
    <w:rsid w:val="009316ED"/>
    <w:rsid w:val="00932897"/>
    <w:rsid w:val="009335CF"/>
    <w:rsid w:val="00934C74"/>
    <w:rsid w:val="00935D66"/>
    <w:rsid w:val="00936B91"/>
    <w:rsid w:val="009372EA"/>
    <w:rsid w:val="00941B8F"/>
    <w:rsid w:val="009421A4"/>
    <w:rsid w:val="00943725"/>
    <w:rsid w:val="00945115"/>
    <w:rsid w:val="0094528E"/>
    <w:rsid w:val="00945739"/>
    <w:rsid w:val="0094584D"/>
    <w:rsid w:val="00945BDA"/>
    <w:rsid w:val="009471C0"/>
    <w:rsid w:val="009508E2"/>
    <w:rsid w:val="00950BF3"/>
    <w:rsid w:val="00952753"/>
    <w:rsid w:val="009527EA"/>
    <w:rsid w:val="00954033"/>
    <w:rsid w:val="00954DA4"/>
    <w:rsid w:val="00955244"/>
    <w:rsid w:val="009552A2"/>
    <w:rsid w:val="00955E8E"/>
    <w:rsid w:val="009571D5"/>
    <w:rsid w:val="009575E7"/>
    <w:rsid w:val="00960DE2"/>
    <w:rsid w:val="00961FDC"/>
    <w:rsid w:val="0096211F"/>
    <w:rsid w:val="00962CA4"/>
    <w:rsid w:val="00965042"/>
    <w:rsid w:val="00965BE7"/>
    <w:rsid w:val="009666FC"/>
    <w:rsid w:val="009706A9"/>
    <w:rsid w:val="00971056"/>
    <w:rsid w:val="00972B35"/>
    <w:rsid w:val="00973132"/>
    <w:rsid w:val="00973B45"/>
    <w:rsid w:val="00974076"/>
    <w:rsid w:val="00977C2B"/>
    <w:rsid w:val="00980478"/>
    <w:rsid w:val="009820ED"/>
    <w:rsid w:val="009840AF"/>
    <w:rsid w:val="009847A2"/>
    <w:rsid w:val="00984CB5"/>
    <w:rsid w:val="009853B1"/>
    <w:rsid w:val="009870EF"/>
    <w:rsid w:val="00990909"/>
    <w:rsid w:val="00991E64"/>
    <w:rsid w:val="0099261B"/>
    <w:rsid w:val="009928BD"/>
    <w:rsid w:val="009941EB"/>
    <w:rsid w:val="00995000"/>
    <w:rsid w:val="00996B75"/>
    <w:rsid w:val="009A0B97"/>
    <w:rsid w:val="009A0C39"/>
    <w:rsid w:val="009A13AE"/>
    <w:rsid w:val="009A3A1B"/>
    <w:rsid w:val="009A3BFC"/>
    <w:rsid w:val="009A4A5A"/>
    <w:rsid w:val="009A605A"/>
    <w:rsid w:val="009A6A82"/>
    <w:rsid w:val="009B0269"/>
    <w:rsid w:val="009B0C40"/>
    <w:rsid w:val="009B3392"/>
    <w:rsid w:val="009B4203"/>
    <w:rsid w:val="009B4D22"/>
    <w:rsid w:val="009B4D5C"/>
    <w:rsid w:val="009B6136"/>
    <w:rsid w:val="009B63F0"/>
    <w:rsid w:val="009B7A27"/>
    <w:rsid w:val="009C1450"/>
    <w:rsid w:val="009C235F"/>
    <w:rsid w:val="009C2765"/>
    <w:rsid w:val="009C2D7C"/>
    <w:rsid w:val="009C4D63"/>
    <w:rsid w:val="009C6141"/>
    <w:rsid w:val="009C622A"/>
    <w:rsid w:val="009C66B0"/>
    <w:rsid w:val="009C75B9"/>
    <w:rsid w:val="009D0918"/>
    <w:rsid w:val="009D09BF"/>
    <w:rsid w:val="009D1523"/>
    <w:rsid w:val="009D222A"/>
    <w:rsid w:val="009D2D56"/>
    <w:rsid w:val="009D3A31"/>
    <w:rsid w:val="009D7036"/>
    <w:rsid w:val="009E09C4"/>
    <w:rsid w:val="009E1B21"/>
    <w:rsid w:val="009E27AD"/>
    <w:rsid w:val="009E2F10"/>
    <w:rsid w:val="009E3014"/>
    <w:rsid w:val="009E3B4A"/>
    <w:rsid w:val="009E4E5B"/>
    <w:rsid w:val="009E52F0"/>
    <w:rsid w:val="009E5BD3"/>
    <w:rsid w:val="009E6311"/>
    <w:rsid w:val="009E64F5"/>
    <w:rsid w:val="009F26B2"/>
    <w:rsid w:val="009F457E"/>
    <w:rsid w:val="009F4AAB"/>
    <w:rsid w:val="009F556C"/>
    <w:rsid w:val="009F6C18"/>
    <w:rsid w:val="009F6F3F"/>
    <w:rsid w:val="00A00C09"/>
    <w:rsid w:val="00A014F1"/>
    <w:rsid w:val="00A03046"/>
    <w:rsid w:val="00A03058"/>
    <w:rsid w:val="00A03D3E"/>
    <w:rsid w:val="00A04071"/>
    <w:rsid w:val="00A042F4"/>
    <w:rsid w:val="00A05BB6"/>
    <w:rsid w:val="00A05BBB"/>
    <w:rsid w:val="00A060E6"/>
    <w:rsid w:val="00A07846"/>
    <w:rsid w:val="00A07DFC"/>
    <w:rsid w:val="00A11023"/>
    <w:rsid w:val="00A117F0"/>
    <w:rsid w:val="00A11AD1"/>
    <w:rsid w:val="00A134EC"/>
    <w:rsid w:val="00A14EEA"/>
    <w:rsid w:val="00A158DC"/>
    <w:rsid w:val="00A16441"/>
    <w:rsid w:val="00A1799D"/>
    <w:rsid w:val="00A17B1C"/>
    <w:rsid w:val="00A20C55"/>
    <w:rsid w:val="00A21734"/>
    <w:rsid w:val="00A223CE"/>
    <w:rsid w:val="00A24E0F"/>
    <w:rsid w:val="00A2613A"/>
    <w:rsid w:val="00A2616C"/>
    <w:rsid w:val="00A263A0"/>
    <w:rsid w:val="00A27388"/>
    <w:rsid w:val="00A30CBF"/>
    <w:rsid w:val="00A311D1"/>
    <w:rsid w:val="00A379D6"/>
    <w:rsid w:val="00A40214"/>
    <w:rsid w:val="00A402E5"/>
    <w:rsid w:val="00A41898"/>
    <w:rsid w:val="00A4273E"/>
    <w:rsid w:val="00A43C0A"/>
    <w:rsid w:val="00A44E91"/>
    <w:rsid w:val="00A46458"/>
    <w:rsid w:val="00A46A61"/>
    <w:rsid w:val="00A47B10"/>
    <w:rsid w:val="00A5030B"/>
    <w:rsid w:val="00A50CDF"/>
    <w:rsid w:val="00A51349"/>
    <w:rsid w:val="00A5241D"/>
    <w:rsid w:val="00A528DD"/>
    <w:rsid w:val="00A53D9D"/>
    <w:rsid w:val="00A541D1"/>
    <w:rsid w:val="00A559F1"/>
    <w:rsid w:val="00A55A86"/>
    <w:rsid w:val="00A56ADF"/>
    <w:rsid w:val="00A57911"/>
    <w:rsid w:val="00A6036F"/>
    <w:rsid w:val="00A614AB"/>
    <w:rsid w:val="00A622B2"/>
    <w:rsid w:val="00A62C88"/>
    <w:rsid w:val="00A6394D"/>
    <w:rsid w:val="00A64DDA"/>
    <w:rsid w:val="00A6743A"/>
    <w:rsid w:val="00A67EDF"/>
    <w:rsid w:val="00A7018C"/>
    <w:rsid w:val="00A70DDE"/>
    <w:rsid w:val="00A721C0"/>
    <w:rsid w:val="00A72D2C"/>
    <w:rsid w:val="00A74580"/>
    <w:rsid w:val="00A7529F"/>
    <w:rsid w:val="00A75563"/>
    <w:rsid w:val="00A76E99"/>
    <w:rsid w:val="00A77FF8"/>
    <w:rsid w:val="00A84299"/>
    <w:rsid w:val="00A844C8"/>
    <w:rsid w:val="00A84B15"/>
    <w:rsid w:val="00A85B68"/>
    <w:rsid w:val="00A8760F"/>
    <w:rsid w:val="00A90AD3"/>
    <w:rsid w:val="00A9150A"/>
    <w:rsid w:val="00A91E38"/>
    <w:rsid w:val="00A933AB"/>
    <w:rsid w:val="00A950FD"/>
    <w:rsid w:val="00A95918"/>
    <w:rsid w:val="00A967B8"/>
    <w:rsid w:val="00A968DA"/>
    <w:rsid w:val="00AA06EE"/>
    <w:rsid w:val="00AA1C32"/>
    <w:rsid w:val="00AA1F8C"/>
    <w:rsid w:val="00AA2DF7"/>
    <w:rsid w:val="00AA3100"/>
    <w:rsid w:val="00AA38C7"/>
    <w:rsid w:val="00AA437F"/>
    <w:rsid w:val="00AA4873"/>
    <w:rsid w:val="00AA571F"/>
    <w:rsid w:val="00AA5F0F"/>
    <w:rsid w:val="00AA6686"/>
    <w:rsid w:val="00AA7969"/>
    <w:rsid w:val="00AB0138"/>
    <w:rsid w:val="00AB1160"/>
    <w:rsid w:val="00AB1440"/>
    <w:rsid w:val="00AB2846"/>
    <w:rsid w:val="00AB2A4E"/>
    <w:rsid w:val="00AB3BBF"/>
    <w:rsid w:val="00AB4108"/>
    <w:rsid w:val="00AB58DB"/>
    <w:rsid w:val="00AB6E05"/>
    <w:rsid w:val="00AC28CC"/>
    <w:rsid w:val="00AC3037"/>
    <w:rsid w:val="00AC3081"/>
    <w:rsid w:val="00AC36AA"/>
    <w:rsid w:val="00AC3810"/>
    <w:rsid w:val="00AC3E07"/>
    <w:rsid w:val="00AC400C"/>
    <w:rsid w:val="00AC4EE0"/>
    <w:rsid w:val="00AC5020"/>
    <w:rsid w:val="00AC5902"/>
    <w:rsid w:val="00AC6B68"/>
    <w:rsid w:val="00AD0A6C"/>
    <w:rsid w:val="00AD0C22"/>
    <w:rsid w:val="00AD0CDA"/>
    <w:rsid w:val="00AD218B"/>
    <w:rsid w:val="00AD3154"/>
    <w:rsid w:val="00AD410E"/>
    <w:rsid w:val="00AD4890"/>
    <w:rsid w:val="00AD4AE2"/>
    <w:rsid w:val="00AD54BA"/>
    <w:rsid w:val="00AD7338"/>
    <w:rsid w:val="00AD73D3"/>
    <w:rsid w:val="00AE0289"/>
    <w:rsid w:val="00AE25DA"/>
    <w:rsid w:val="00AE542C"/>
    <w:rsid w:val="00AE5BFD"/>
    <w:rsid w:val="00AE60BA"/>
    <w:rsid w:val="00AE669A"/>
    <w:rsid w:val="00AF03D9"/>
    <w:rsid w:val="00AF1972"/>
    <w:rsid w:val="00AF324B"/>
    <w:rsid w:val="00AF3C4B"/>
    <w:rsid w:val="00AF4393"/>
    <w:rsid w:val="00AF548F"/>
    <w:rsid w:val="00AF5D4F"/>
    <w:rsid w:val="00B002F2"/>
    <w:rsid w:val="00B0103F"/>
    <w:rsid w:val="00B018EC"/>
    <w:rsid w:val="00B0446B"/>
    <w:rsid w:val="00B06520"/>
    <w:rsid w:val="00B06D7F"/>
    <w:rsid w:val="00B1135D"/>
    <w:rsid w:val="00B127C4"/>
    <w:rsid w:val="00B12A0B"/>
    <w:rsid w:val="00B1567C"/>
    <w:rsid w:val="00B165A0"/>
    <w:rsid w:val="00B16DCE"/>
    <w:rsid w:val="00B2070B"/>
    <w:rsid w:val="00B212DB"/>
    <w:rsid w:val="00B21697"/>
    <w:rsid w:val="00B222F2"/>
    <w:rsid w:val="00B22448"/>
    <w:rsid w:val="00B24DC5"/>
    <w:rsid w:val="00B255A5"/>
    <w:rsid w:val="00B2621F"/>
    <w:rsid w:val="00B26400"/>
    <w:rsid w:val="00B30FA3"/>
    <w:rsid w:val="00B318AD"/>
    <w:rsid w:val="00B322C3"/>
    <w:rsid w:val="00B32DFC"/>
    <w:rsid w:val="00B33685"/>
    <w:rsid w:val="00B35BF6"/>
    <w:rsid w:val="00B368DF"/>
    <w:rsid w:val="00B36C58"/>
    <w:rsid w:val="00B36F8C"/>
    <w:rsid w:val="00B40057"/>
    <w:rsid w:val="00B4062E"/>
    <w:rsid w:val="00B423E0"/>
    <w:rsid w:val="00B425BE"/>
    <w:rsid w:val="00B43726"/>
    <w:rsid w:val="00B43E4D"/>
    <w:rsid w:val="00B45A4D"/>
    <w:rsid w:val="00B463DD"/>
    <w:rsid w:val="00B46471"/>
    <w:rsid w:val="00B524E0"/>
    <w:rsid w:val="00B53518"/>
    <w:rsid w:val="00B549A6"/>
    <w:rsid w:val="00B55B63"/>
    <w:rsid w:val="00B55CA6"/>
    <w:rsid w:val="00B57389"/>
    <w:rsid w:val="00B60130"/>
    <w:rsid w:val="00B64EE1"/>
    <w:rsid w:val="00B65762"/>
    <w:rsid w:val="00B65907"/>
    <w:rsid w:val="00B659C7"/>
    <w:rsid w:val="00B65D9D"/>
    <w:rsid w:val="00B65E52"/>
    <w:rsid w:val="00B65EA9"/>
    <w:rsid w:val="00B6724C"/>
    <w:rsid w:val="00B67774"/>
    <w:rsid w:val="00B71053"/>
    <w:rsid w:val="00B710CF"/>
    <w:rsid w:val="00B71357"/>
    <w:rsid w:val="00B7301F"/>
    <w:rsid w:val="00B734FD"/>
    <w:rsid w:val="00B74866"/>
    <w:rsid w:val="00B74B0C"/>
    <w:rsid w:val="00B7512A"/>
    <w:rsid w:val="00B751ED"/>
    <w:rsid w:val="00B76A83"/>
    <w:rsid w:val="00B771CE"/>
    <w:rsid w:val="00B7730C"/>
    <w:rsid w:val="00B801AD"/>
    <w:rsid w:val="00B80528"/>
    <w:rsid w:val="00B81244"/>
    <w:rsid w:val="00B8200B"/>
    <w:rsid w:val="00B8204F"/>
    <w:rsid w:val="00B820F9"/>
    <w:rsid w:val="00B8338D"/>
    <w:rsid w:val="00B83A7F"/>
    <w:rsid w:val="00B83D3D"/>
    <w:rsid w:val="00B844EC"/>
    <w:rsid w:val="00B85CD1"/>
    <w:rsid w:val="00B874B4"/>
    <w:rsid w:val="00B875AA"/>
    <w:rsid w:val="00B9253F"/>
    <w:rsid w:val="00B92547"/>
    <w:rsid w:val="00B931F2"/>
    <w:rsid w:val="00B935F0"/>
    <w:rsid w:val="00B93D14"/>
    <w:rsid w:val="00B9599D"/>
    <w:rsid w:val="00B9790C"/>
    <w:rsid w:val="00BA0E32"/>
    <w:rsid w:val="00BA18FE"/>
    <w:rsid w:val="00BA3B88"/>
    <w:rsid w:val="00BA3E54"/>
    <w:rsid w:val="00BA4F0E"/>
    <w:rsid w:val="00BA52BC"/>
    <w:rsid w:val="00BA5778"/>
    <w:rsid w:val="00BA6468"/>
    <w:rsid w:val="00BA67AF"/>
    <w:rsid w:val="00BA6A84"/>
    <w:rsid w:val="00BB2771"/>
    <w:rsid w:val="00BB2C12"/>
    <w:rsid w:val="00BB3098"/>
    <w:rsid w:val="00BB5B43"/>
    <w:rsid w:val="00BB5CE5"/>
    <w:rsid w:val="00BB6A69"/>
    <w:rsid w:val="00BB7ABC"/>
    <w:rsid w:val="00BC0C0F"/>
    <w:rsid w:val="00BC118E"/>
    <w:rsid w:val="00BC1CB5"/>
    <w:rsid w:val="00BC2C1C"/>
    <w:rsid w:val="00BC3B51"/>
    <w:rsid w:val="00BC5143"/>
    <w:rsid w:val="00BC55EB"/>
    <w:rsid w:val="00BC58F3"/>
    <w:rsid w:val="00BC615C"/>
    <w:rsid w:val="00BC64B8"/>
    <w:rsid w:val="00BC6D17"/>
    <w:rsid w:val="00BC70D5"/>
    <w:rsid w:val="00BD00A5"/>
    <w:rsid w:val="00BD1C06"/>
    <w:rsid w:val="00BD1C73"/>
    <w:rsid w:val="00BD1FF1"/>
    <w:rsid w:val="00BD3AFE"/>
    <w:rsid w:val="00BD4BE4"/>
    <w:rsid w:val="00BD749E"/>
    <w:rsid w:val="00BD74AF"/>
    <w:rsid w:val="00BD7DE4"/>
    <w:rsid w:val="00BE18E7"/>
    <w:rsid w:val="00BE23BE"/>
    <w:rsid w:val="00BE2F67"/>
    <w:rsid w:val="00BE3299"/>
    <w:rsid w:val="00BE3C07"/>
    <w:rsid w:val="00BE4D3F"/>
    <w:rsid w:val="00BE4E4F"/>
    <w:rsid w:val="00BE5D24"/>
    <w:rsid w:val="00BE6F5E"/>
    <w:rsid w:val="00BF003A"/>
    <w:rsid w:val="00BF2059"/>
    <w:rsid w:val="00BF2CBD"/>
    <w:rsid w:val="00BF54FD"/>
    <w:rsid w:val="00BF5686"/>
    <w:rsid w:val="00BF59D9"/>
    <w:rsid w:val="00BF5E72"/>
    <w:rsid w:val="00BF679C"/>
    <w:rsid w:val="00BF6C28"/>
    <w:rsid w:val="00BF70F6"/>
    <w:rsid w:val="00C005AF"/>
    <w:rsid w:val="00C006CB"/>
    <w:rsid w:val="00C02F24"/>
    <w:rsid w:val="00C05035"/>
    <w:rsid w:val="00C077AB"/>
    <w:rsid w:val="00C108E3"/>
    <w:rsid w:val="00C10CAA"/>
    <w:rsid w:val="00C131D0"/>
    <w:rsid w:val="00C13BC5"/>
    <w:rsid w:val="00C13F25"/>
    <w:rsid w:val="00C1469B"/>
    <w:rsid w:val="00C15CF8"/>
    <w:rsid w:val="00C163F6"/>
    <w:rsid w:val="00C20A8B"/>
    <w:rsid w:val="00C2213B"/>
    <w:rsid w:val="00C23CC1"/>
    <w:rsid w:val="00C25273"/>
    <w:rsid w:val="00C25F65"/>
    <w:rsid w:val="00C31968"/>
    <w:rsid w:val="00C361A3"/>
    <w:rsid w:val="00C3624F"/>
    <w:rsid w:val="00C3633D"/>
    <w:rsid w:val="00C36AE4"/>
    <w:rsid w:val="00C4009E"/>
    <w:rsid w:val="00C402A6"/>
    <w:rsid w:val="00C40B08"/>
    <w:rsid w:val="00C4134B"/>
    <w:rsid w:val="00C42D83"/>
    <w:rsid w:val="00C43F2B"/>
    <w:rsid w:val="00C4429E"/>
    <w:rsid w:val="00C457CE"/>
    <w:rsid w:val="00C45FAD"/>
    <w:rsid w:val="00C47EA2"/>
    <w:rsid w:val="00C509A6"/>
    <w:rsid w:val="00C51008"/>
    <w:rsid w:val="00C51E32"/>
    <w:rsid w:val="00C52351"/>
    <w:rsid w:val="00C5268F"/>
    <w:rsid w:val="00C53C7D"/>
    <w:rsid w:val="00C54D6F"/>
    <w:rsid w:val="00C54F9E"/>
    <w:rsid w:val="00C55DC9"/>
    <w:rsid w:val="00C56E7E"/>
    <w:rsid w:val="00C578EB"/>
    <w:rsid w:val="00C609F8"/>
    <w:rsid w:val="00C61807"/>
    <w:rsid w:val="00C61998"/>
    <w:rsid w:val="00C6283A"/>
    <w:rsid w:val="00C660EC"/>
    <w:rsid w:val="00C704B6"/>
    <w:rsid w:val="00C70648"/>
    <w:rsid w:val="00C707F2"/>
    <w:rsid w:val="00C71617"/>
    <w:rsid w:val="00C71BE2"/>
    <w:rsid w:val="00C73D52"/>
    <w:rsid w:val="00C74B08"/>
    <w:rsid w:val="00C75423"/>
    <w:rsid w:val="00C76A11"/>
    <w:rsid w:val="00C76FA9"/>
    <w:rsid w:val="00C80313"/>
    <w:rsid w:val="00C80BCA"/>
    <w:rsid w:val="00C85A4A"/>
    <w:rsid w:val="00C861A0"/>
    <w:rsid w:val="00C86557"/>
    <w:rsid w:val="00C87120"/>
    <w:rsid w:val="00C87CA0"/>
    <w:rsid w:val="00C9166F"/>
    <w:rsid w:val="00C92F64"/>
    <w:rsid w:val="00C93761"/>
    <w:rsid w:val="00C941BC"/>
    <w:rsid w:val="00C94D69"/>
    <w:rsid w:val="00C95ECB"/>
    <w:rsid w:val="00C96FF5"/>
    <w:rsid w:val="00CA12F8"/>
    <w:rsid w:val="00CA1683"/>
    <w:rsid w:val="00CA269E"/>
    <w:rsid w:val="00CA281A"/>
    <w:rsid w:val="00CA322E"/>
    <w:rsid w:val="00CA34B9"/>
    <w:rsid w:val="00CA3BAC"/>
    <w:rsid w:val="00CA5064"/>
    <w:rsid w:val="00CA5688"/>
    <w:rsid w:val="00CA5707"/>
    <w:rsid w:val="00CA5F55"/>
    <w:rsid w:val="00CA7AF6"/>
    <w:rsid w:val="00CB039E"/>
    <w:rsid w:val="00CB050A"/>
    <w:rsid w:val="00CB1820"/>
    <w:rsid w:val="00CB2B95"/>
    <w:rsid w:val="00CB36CA"/>
    <w:rsid w:val="00CB4AD7"/>
    <w:rsid w:val="00CB557E"/>
    <w:rsid w:val="00CB569A"/>
    <w:rsid w:val="00CB5A04"/>
    <w:rsid w:val="00CB61C6"/>
    <w:rsid w:val="00CB78D5"/>
    <w:rsid w:val="00CC0E28"/>
    <w:rsid w:val="00CC0F4E"/>
    <w:rsid w:val="00CC2D9B"/>
    <w:rsid w:val="00CC3711"/>
    <w:rsid w:val="00CC3D83"/>
    <w:rsid w:val="00CC4132"/>
    <w:rsid w:val="00CD1136"/>
    <w:rsid w:val="00CD1395"/>
    <w:rsid w:val="00CD149B"/>
    <w:rsid w:val="00CD1564"/>
    <w:rsid w:val="00CD1CE3"/>
    <w:rsid w:val="00CD3876"/>
    <w:rsid w:val="00CD41DC"/>
    <w:rsid w:val="00CD56C9"/>
    <w:rsid w:val="00CD578D"/>
    <w:rsid w:val="00CD7CC5"/>
    <w:rsid w:val="00CE0169"/>
    <w:rsid w:val="00CE0184"/>
    <w:rsid w:val="00CE0BC1"/>
    <w:rsid w:val="00CE0C45"/>
    <w:rsid w:val="00CE33A5"/>
    <w:rsid w:val="00CE612B"/>
    <w:rsid w:val="00CE61F9"/>
    <w:rsid w:val="00CE7432"/>
    <w:rsid w:val="00CF1927"/>
    <w:rsid w:val="00CF1A24"/>
    <w:rsid w:val="00CF3C71"/>
    <w:rsid w:val="00CF3D6D"/>
    <w:rsid w:val="00CF7E06"/>
    <w:rsid w:val="00D0295B"/>
    <w:rsid w:val="00D02C3C"/>
    <w:rsid w:val="00D03785"/>
    <w:rsid w:val="00D03DC7"/>
    <w:rsid w:val="00D03E2B"/>
    <w:rsid w:val="00D0722A"/>
    <w:rsid w:val="00D12662"/>
    <w:rsid w:val="00D12CCF"/>
    <w:rsid w:val="00D1348B"/>
    <w:rsid w:val="00D13A4A"/>
    <w:rsid w:val="00D143AF"/>
    <w:rsid w:val="00D146E4"/>
    <w:rsid w:val="00D17E1F"/>
    <w:rsid w:val="00D20989"/>
    <w:rsid w:val="00D21632"/>
    <w:rsid w:val="00D22BC2"/>
    <w:rsid w:val="00D22E34"/>
    <w:rsid w:val="00D2436B"/>
    <w:rsid w:val="00D244D7"/>
    <w:rsid w:val="00D24EA4"/>
    <w:rsid w:val="00D303A9"/>
    <w:rsid w:val="00D30D0B"/>
    <w:rsid w:val="00D30FA9"/>
    <w:rsid w:val="00D31C7A"/>
    <w:rsid w:val="00D334E4"/>
    <w:rsid w:val="00D34392"/>
    <w:rsid w:val="00D36131"/>
    <w:rsid w:val="00D37298"/>
    <w:rsid w:val="00D425E2"/>
    <w:rsid w:val="00D4340C"/>
    <w:rsid w:val="00D4371E"/>
    <w:rsid w:val="00D4465B"/>
    <w:rsid w:val="00D45F11"/>
    <w:rsid w:val="00D46B72"/>
    <w:rsid w:val="00D4722F"/>
    <w:rsid w:val="00D50F89"/>
    <w:rsid w:val="00D520CB"/>
    <w:rsid w:val="00D524F1"/>
    <w:rsid w:val="00D530F0"/>
    <w:rsid w:val="00D54DBF"/>
    <w:rsid w:val="00D54FE5"/>
    <w:rsid w:val="00D55BBB"/>
    <w:rsid w:val="00D57611"/>
    <w:rsid w:val="00D609EF"/>
    <w:rsid w:val="00D60D9E"/>
    <w:rsid w:val="00D61523"/>
    <w:rsid w:val="00D62C0A"/>
    <w:rsid w:val="00D64998"/>
    <w:rsid w:val="00D64FF0"/>
    <w:rsid w:val="00D652DA"/>
    <w:rsid w:val="00D65E04"/>
    <w:rsid w:val="00D66586"/>
    <w:rsid w:val="00D67A7B"/>
    <w:rsid w:val="00D67AF6"/>
    <w:rsid w:val="00D70CBD"/>
    <w:rsid w:val="00D7305F"/>
    <w:rsid w:val="00D73160"/>
    <w:rsid w:val="00D754AF"/>
    <w:rsid w:val="00D75F6D"/>
    <w:rsid w:val="00D760A8"/>
    <w:rsid w:val="00D775F2"/>
    <w:rsid w:val="00D80288"/>
    <w:rsid w:val="00D81038"/>
    <w:rsid w:val="00D815A3"/>
    <w:rsid w:val="00D8166A"/>
    <w:rsid w:val="00D83679"/>
    <w:rsid w:val="00D83A19"/>
    <w:rsid w:val="00D8426C"/>
    <w:rsid w:val="00D85144"/>
    <w:rsid w:val="00D86944"/>
    <w:rsid w:val="00D876D5"/>
    <w:rsid w:val="00D90A3B"/>
    <w:rsid w:val="00D90D55"/>
    <w:rsid w:val="00D92DB2"/>
    <w:rsid w:val="00D950E5"/>
    <w:rsid w:val="00D95C26"/>
    <w:rsid w:val="00D960D0"/>
    <w:rsid w:val="00D96972"/>
    <w:rsid w:val="00D97773"/>
    <w:rsid w:val="00D97DA0"/>
    <w:rsid w:val="00DA0D1D"/>
    <w:rsid w:val="00DA0E4E"/>
    <w:rsid w:val="00DA2754"/>
    <w:rsid w:val="00DA3BFD"/>
    <w:rsid w:val="00DA607A"/>
    <w:rsid w:val="00DA7684"/>
    <w:rsid w:val="00DB04F3"/>
    <w:rsid w:val="00DB0E70"/>
    <w:rsid w:val="00DB1270"/>
    <w:rsid w:val="00DB1487"/>
    <w:rsid w:val="00DB288A"/>
    <w:rsid w:val="00DB2D98"/>
    <w:rsid w:val="00DB623C"/>
    <w:rsid w:val="00DB7CC4"/>
    <w:rsid w:val="00DC20E1"/>
    <w:rsid w:val="00DC26DC"/>
    <w:rsid w:val="00DC27F4"/>
    <w:rsid w:val="00DC3636"/>
    <w:rsid w:val="00DC36A3"/>
    <w:rsid w:val="00DC3785"/>
    <w:rsid w:val="00DC4C89"/>
    <w:rsid w:val="00DC4F49"/>
    <w:rsid w:val="00DC5384"/>
    <w:rsid w:val="00DC5991"/>
    <w:rsid w:val="00DC698A"/>
    <w:rsid w:val="00DC7385"/>
    <w:rsid w:val="00DC7474"/>
    <w:rsid w:val="00DD0532"/>
    <w:rsid w:val="00DD0932"/>
    <w:rsid w:val="00DD1CD5"/>
    <w:rsid w:val="00DD1E8E"/>
    <w:rsid w:val="00DD3191"/>
    <w:rsid w:val="00DD52A2"/>
    <w:rsid w:val="00DD5C15"/>
    <w:rsid w:val="00DD743F"/>
    <w:rsid w:val="00DD7FC9"/>
    <w:rsid w:val="00DE03CB"/>
    <w:rsid w:val="00DE05D6"/>
    <w:rsid w:val="00DE11AA"/>
    <w:rsid w:val="00DE1652"/>
    <w:rsid w:val="00DE18B8"/>
    <w:rsid w:val="00DE3E2F"/>
    <w:rsid w:val="00DE458E"/>
    <w:rsid w:val="00DE53AE"/>
    <w:rsid w:val="00DE5D01"/>
    <w:rsid w:val="00DE639B"/>
    <w:rsid w:val="00DE63A7"/>
    <w:rsid w:val="00DF0254"/>
    <w:rsid w:val="00DF0C6D"/>
    <w:rsid w:val="00DF4513"/>
    <w:rsid w:val="00DF4CE7"/>
    <w:rsid w:val="00DF588C"/>
    <w:rsid w:val="00DF5ED4"/>
    <w:rsid w:val="00DF6387"/>
    <w:rsid w:val="00DF67C9"/>
    <w:rsid w:val="00E02908"/>
    <w:rsid w:val="00E02E2C"/>
    <w:rsid w:val="00E03BFF"/>
    <w:rsid w:val="00E04B3A"/>
    <w:rsid w:val="00E060A4"/>
    <w:rsid w:val="00E061AB"/>
    <w:rsid w:val="00E06BFD"/>
    <w:rsid w:val="00E0747D"/>
    <w:rsid w:val="00E12D47"/>
    <w:rsid w:val="00E1311F"/>
    <w:rsid w:val="00E13A81"/>
    <w:rsid w:val="00E14261"/>
    <w:rsid w:val="00E1430D"/>
    <w:rsid w:val="00E143CD"/>
    <w:rsid w:val="00E14DF5"/>
    <w:rsid w:val="00E16269"/>
    <w:rsid w:val="00E16444"/>
    <w:rsid w:val="00E17E0D"/>
    <w:rsid w:val="00E200C1"/>
    <w:rsid w:val="00E20B00"/>
    <w:rsid w:val="00E20F48"/>
    <w:rsid w:val="00E23F65"/>
    <w:rsid w:val="00E246A7"/>
    <w:rsid w:val="00E301BB"/>
    <w:rsid w:val="00E30C6E"/>
    <w:rsid w:val="00E30ED1"/>
    <w:rsid w:val="00E31AF6"/>
    <w:rsid w:val="00E32385"/>
    <w:rsid w:val="00E32F41"/>
    <w:rsid w:val="00E3475D"/>
    <w:rsid w:val="00E3540B"/>
    <w:rsid w:val="00E357B0"/>
    <w:rsid w:val="00E35BEF"/>
    <w:rsid w:val="00E35EFA"/>
    <w:rsid w:val="00E35FF3"/>
    <w:rsid w:val="00E36079"/>
    <w:rsid w:val="00E36AF5"/>
    <w:rsid w:val="00E36C9A"/>
    <w:rsid w:val="00E37012"/>
    <w:rsid w:val="00E372B2"/>
    <w:rsid w:val="00E40E6D"/>
    <w:rsid w:val="00E415D1"/>
    <w:rsid w:val="00E43454"/>
    <w:rsid w:val="00E43626"/>
    <w:rsid w:val="00E43F73"/>
    <w:rsid w:val="00E4433A"/>
    <w:rsid w:val="00E46DD6"/>
    <w:rsid w:val="00E46FC1"/>
    <w:rsid w:val="00E5393F"/>
    <w:rsid w:val="00E5399A"/>
    <w:rsid w:val="00E54149"/>
    <w:rsid w:val="00E54ED3"/>
    <w:rsid w:val="00E575DB"/>
    <w:rsid w:val="00E618AF"/>
    <w:rsid w:val="00E62AF6"/>
    <w:rsid w:val="00E657F1"/>
    <w:rsid w:val="00E65EE7"/>
    <w:rsid w:val="00E6770F"/>
    <w:rsid w:val="00E67A6A"/>
    <w:rsid w:val="00E70037"/>
    <w:rsid w:val="00E7122D"/>
    <w:rsid w:val="00E71C5D"/>
    <w:rsid w:val="00E72885"/>
    <w:rsid w:val="00E73105"/>
    <w:rsid w:val="00E7358A"/>
    <w:rsid w:val="00E74D93"/>
    <w:rsid w:val="00E76778"/>
    <w:rsid w:val="00E76DA9"/>
    <w:rsid w:val="00E800D6"/>
    <w:rsid w:val="00E81D37"/>
    <w:rsid w:val="00E83A77"/>
    <w:rsid w:val="00E83CB0"/>
    <w:rsid w:val="00E85604"/>
    <w:rsid w:val="00E860C8"/>
    <w:rsid w:val="00E86AF0"/>
    <w:rsid w:val="00E914BB"/>
    <w:rsid w:val="00E914F1"/>
    <w:rsid w:val="00E9327A"/>
    <w:rsid w:val="00E93CE7"/>
    <w:rsid w:val="00E9420D"/>
    <w:rsid w:val="00E95A5F"/>
    <w:rsid w:val="00E96084"/>
    <w:rsid w:val="00E9686E"/>
    <w:rsid w:val="00E96B62"/>
    <w:rsid w:val="00EA1C22"/>
    <w:rsid w:val="00EA2425"/>
    <w:rsid w:val="00EA2C54"/>
    <w:rsid w:val="00EA38F5"/>
    <w:rsid w:val="00EA707D"/>
    <w:rsid w:val="00EA731A"/>
    <w:rsid w:val="00EA74F9"/>
    <w:rsid w:val="00EA7BB5"/>
    <w:rsid w:val="00EB28F3"/>
    <w:rsid w:val="00EB5F71"/>
    <w:rsid w:val="00EB632F"/>
    <w:rsid w:val="00EB7F8D"/>
    <w:rsid w:val="00EC09DF"/>
    <w:rsid w:val="00EC15A1"/>
    <w:rsid w:val="00EC2596"/>
    <w:rsid w:val="00EC56F6"/>
    <w:rsid w:val="00EC6F01"/>
    <w:rsid w:val="00EC74EA"/>
    <w:rsid w:val="00EC76F9"/>
    <w:rsid w:val="00ED11F6"/>
    <w:rsid w:val="00ED1ADC"/>
    <w:rsid w:val="00ED2CAA"/>
    <w:rsid w:val="00ED38A7"/>
    <w:rsid w:val="00ED44F2"/>
    <w:rsid w:val="00ED5C70"/>
    <w:rsid w:val="00ED6EEC"/>
    <w:rsid w:val="00ED79CB"/>
    <w:rsid w:val="00ED7AD8"/>
    <w:rsid w:val="00EE1C21"/>
    <w:rsid w:val="00EE50D2"/>
    <w:rsid w:val="00EE606D"/>
    <w:rsid w:val="00EE7823"/>
    <w:rsid w:val="00EF1EF4"/>
    <w:rsid w:val="00EF5922"/>
    <w:rsid w:val="00EF5D99"/>
    <w:rsid w:val="00EF63DD"/>
    <w:rsid w:val="00F020C9"/>
    <w:rsid w:val="00F02CB4"/>
    <w:rsid w:val="00F02E99"/>
    <w:rsid w:val="00F0330C"/>
    <w:rsid w:val="00F05518"/>
    <w:rsid w:val="00F06119"/>
    <w:rsid w:val="00F070EF"/>
    <w:rsid w:val="00F11D70"/>
    <w:rsid w:val="00F12C5B"/>
    <w:rsid w:val="00F12D4C"/>
    <w:rsid w:val="00F1322F"/>
    <w:rsid w:val="00F13659"/>
    <w:rsid w:val="00F13ED9"/>
    <w:rsid w:val="00F161F9"/>
    <w:rsid w:val="00F17F2A"/>
    <w:rsid w:val="00F21BC2"/>
    <w:rsid w:val="00F224A7"/>
    <w:rsid w:val="00F22BC2"/>
    <w:rsid w:val="00F232FD"/>
    <w:rsid w:val="00F23C8E"/>
    <w:rsid w:val="00F24411"/>
    <w:rsid w:val="00F25AFA"/>
    <w:rsid w:val="00F27659"/>
    <w:rsid w:val="00F278FC"/>
    <w:rsid w:val="00F27F16"/>
    <w:rsid w:val="00F31E5D"/>
    <w:rsid w:val="00F31FC7"/>
    <w:rsid w:val="00F32B3D"/>
    <w:rsid w:val="00F338EC"/>
    <w:rsid w:val="00F33CF1"/>
    <w:rsid w:val="00F34D6A"/>
    <w:rsid w:val="00F361EA"/>
    <w:rsid w:val="00F37075"/>
    <w:rsid w:val="00F371B4"/>
    <w:rsid w:val="00F37ADA"/>
    <w:rsid w:val="00F408D6"/>
    <w:rsid w:val="00F41A97"/>
    <w:rsid w:val="00F43023"/>
    <w:rsid w:val="00F43907"/>
    <w:rsid w:val="00F443D6"/>
    <w:rsid w:val="00F46F94"/>
    <w:rsid w:val="00F474F2"/>
    <w:rsid w:val="00F5107D"/>
    <w:rsid w:val="00F52921"/>
    <w:rsid w:val="00F534B8"/>
    <w:rsid w:val="00F54409"/>
    <w:rsid w:val="00F54A50"/>
    <w:rsid w:val="00F5556A"/>
    <w:rsid w:val="00F56A77"/>
    <w:rsid w:val="00F5797B"/>
    <w:rsid w:val="00F652F1"/>
    <w:rsid w:val="00F658BC"/>
    <w:rsid w:val="00F66119"/>
    <w:rsid w:val="00F661F1"/>
    <w:rsid w:val="00F67C27"/>
    <w:rsid w:val="00F70AA9"/>
    <w:rsid w:val="00F7179F"/>
    <w:rsid w:val="00F71FAF"/>
    <w:rsid w:val="00F72021"/>
    <w:rsid w:val="00F729FC"/>
    <w:rsid w:val="00F73275"/>
    <w:rsid w:val="00F742C9"/>
    <w:rsid w:val="00F753CF"/>
    <w:rsid w:val="00F753E7"/>
    <w:rsid w:val="00F75B5E"/>
    <w:rsid w:val="00F76E92"/>
    <w:rsid w:val="00F8118D"/>
    <w:rsid w:val="00F81221"/>
    <w:rsid w:val="00F812B5"/>
    <w:rsid w:val="00F81387"/>
    <w:rsid w:val="00F84646"/>
    <w:rsid w:val="00F847CA"/>
    <w:rsid w:val="00F84DF0"/>
    <w:rsid w:val="00F85514"/>
    <w:rsid w:val="00F86B0E"/>
    <w:rsid w:val="00F9030A"/>
    <w:rsid w:val="00F90516"/>
    <w:rsid w:val="00F923A6"/>
    <w:rsid w:val="00F92BBA"/>
    <w:rsid w:val="00F92C16"/>
    <w:rsid w:val="00F92CE0"/>
    <w:rsid w:val="00F93C7A"/>
    <w:rsid w:val="00F9415A"/>
    <w:rsid w:val="00F9426C"/>
    <w:rsid w:val="00F94B2B"/>
    <w:rsid w:val="00F9630C"/>
    <w:rsid w:val="00F96507"/>
    <w:rsid w:val="00F96DF0"/>
    <w:rsid w:val="00F9720E"/>
    <w:rsid w:val="00F97DFE"/>
    <w:rsid w:val="00FA0C32"/>
    <w:rsid w:val="00FA12B0"/>
    <w:rsid w:val="00FA1352"/>
    <w:rsid w:val="00FA1471"/>
    <w:rsid w:val="00FA2661"/>
    <w:rsid w:val="00FA480C"/>
    <w:rsid w:val="00FA4A17"/>
    <w:rsid w:val="00FA6B9F"/>
    <w:rsid w:val="00FA6D25"/>
    <w:rsid w:val="00FA7FBD"/>
    <w:rsid w:val="00FB16F4"/>
    <w:rsid w:val="00FB2BA9"/>
    <w:rsid w:val="00FB2CFD"/>
    <w:rsid w:val="00FB4EE3"/>
    <w:rsid w:val="00FB5232"/>
    <w:rsid w:val="00FB66B4"/>
    <w:rsid w:val="00FB690C"/>
    <w:rsid w:val="00FC2525"/>
    <w:rsid w:val="00FC3F81"/>
    <w:rsid w:val="00FC692D"/>
    <w:rsid w:val="00FD0E78"/>
    <w:rsid w:val="00FD1746"/>
    <w:rsid w:val="00FD209F"/>
    <w:rsid w:val="00FD2C19"/>
    <w:rsid w:val="00FD3529"/>
    <w:rsid w:val="00FD437E"/>
    <w:rsid w:val="00FD76CA"/>
    <w:rsid w:val="00FD7CF7"/>
    <w:rsid w:val="00FE029A"/>
    <w:rsid w:val="00FE0B2E"/>
    <w:rsid w:val="00FE0DFF"/>
    <w:rsid w:val="00FE21B0"/>
    <w:rsid w:val="00FE2710"/>
    <w:rsid w:val="00FE2FBC"/>
    <w:rsid w:val="00FE3D99"/>
    <w:rsid w:val="00FE4F8F"/>
    <w:rsid w:val="00FE52A8"/>
    <w:rsid w:val="00FE5358"/>
    <w:rsid w:val="00FE5884"/>
    <w:rsid w:val="00FE5A61"/>
    <w:rsid w:val="00FE604B"/>
    <w:rsid w:val="00FE613D"/>
    <w:rsid w:val="00FF20DD"/>
    <w:rsid w:val="00FF2E6F"/>
    <w:rsid w:val="00FF4577"/>
    <w:rsid w:val="00FF6493"/>
    <w:rsid w:val="013B2C45"/>
    <w:rsid w:val="018F7DFF"/>
    <w:rsid w:val="01A04FF6"/>
    <w:rsid w:val="01DA20AA"/>
    <w:rsid w:val="026E3335"/>
    <w:rsid w:val="027D6DCC"/>
    <w:rsid w:val="02CF248F"/>
    <w:rsid w:val="03021494"/>
    <w:rsid w:val="03570744"/>
    <w:rsid w:val="03AB038E"/>
    <w:rsid w:val="04AF60F5"/>
    <w:rsid w:val="04F561EC"/>
    <w:rsid w:val="057042D9"/>
    <w:rsid w:val="059D42BF"/>
    <w:rsid w:val="05A22231"/>
    <w:rsid w:val="05D442E8"/>
    <w:rsid w:val="061B39C5"/>
    <w:rsid w:val="070C4DB2"/>
    <w:rsid w:val="07F66695"/>
    <w:rsid w:val="07FC4E41"/>
    <w:rsid w:val="080A135C"/>
    <w:rsid w:val="081B102B"/>
    <w:rsid w:val="08AC35B4"/>
    <w:rsid w:val="08D22927"/>
    <w:rsid w:val="093A6EC8"/>
    <w:rsid w:val="09693ED7"/>
    <w:rsid w:val="09937096"/>
    <w:rsid w:val="09C00F1B"/>
    <w:rsid w:val="09CD694B"/>
    <w:rsid w:val="0A1F007C"/>
    <w:rsid w:val="0A4776AA"/>
    <w:rsid w:val="0A695A06"/>
    <w:rsid w:val="0A8D3D36"/>
    <w:rsid w:val="0B05759E"/>
    <w:rsid w:val="0B885FE9"/>
    <w:rsid w:val="0B9C2686"/>
    <w:rsid w:val="0BA15B99"/>
    <w:rsid w:val="0BF059ED"/>
    <w:rsid w:val="0CE27560"/>
    <w:rsid w:val="0CF35673"/>
    <w:rsid w:val="0CFE2E2A"/>
    <w:rsid w:val="0D077DD0"/>
    <w:rsid w:val="0DE3403C"/>
    <w:rsid w:val="0E24450E"/>
    <w:rsid w:val="0E3243B3"/>
    <w:rsid w:val="0E7626CF"/>
    <w:rsid w:val="0EC63202"/>
    <w:rsid w:val="0ED518D9"/>
    <w:rsid w:val="0EEE3C4F"/>
    <w:rsid w:val="0EF205E1"/>
    <w:rsid w:val="0F1D37BF"/>
    <w:rsid w:val="0F4C2EA3"/>
    <w:rsid w:val="0F7402A0"/>
    <w:rsid w:val="10121743"/>
    <w:rsid w:val="103C6A5A"/>
    <w:rsid w:val="10737C5D"/>
    <w:rsid w:val="107514F4"/>
    <w:rsid w:val="10AC2EED"/>
    <w:rsid w:val="10DE1E20"/>
    <w:rsid w:val="11072A94"/>
    <w:rsid w:val="11952BC5"/>
    <w:rsid w:val="119A3F4A"/>
    <w:rsid w:val="11F22FF4"/>
    <w:rsid w:val="11FC1228"/>
    <w:rsid w:val="123341BF"/>
    <w:rsid w:val="123B18C2"/>
    <w:rsid w:val="12A83E03"/>
    <w:rsid w:val="12E9670D"/>
    <w:rsid w:val="134B5679"/>
    <w:rsid w:val="13596EAB"/>
    <w:rsid w:val="13632742"/>
    <w:rsid w:val="13927349"/>
    <w:rsid w:val="13F57AD4"/>
    <w:rsid w:val="144271E9"/>
    <w:rsid w:val="14504752"/>
    <w:rsid w:val="14E2039C"/>
    <w:rsid w:val="15527E9A"/>
    <w:rsid w:val="15853F88"/>
    <w:rsid w:val="159604B6"/>
    <w:rsid w:val="165B1300"/>
    <w:rsid w:val="16607834"/>
    <w:rsid w:val="16774218"/>
    <w:rsid w:val="16D6621F"/>
    <w:rsid w:val="16DB5AAC"/>
    <w:rsid w:val="16F15281"/>
    <w:rsid w:val="17881E35"/>
    <w:rsid w:val="179955FA"/>
    <w:rsid w:val="17B60D70"/>
    <w:rsid w:val="17C05CDE"/>
    <w:rsid w:val="17C70CF3"/>
    <w:rsid w:val="17C867DB"/>
    <w:rsid w:val="17DC37B8"/>
    <w:rsid w:val="180E2877"/>
    <w:rsid w:val="18A134B8"/>
    <w:rsid w:val="18DE3ADD"/>
    <w:rsid w:val="18DF5A7B"/>
    <w:rsid w:val="18E271C2"/>
    <w:rsid w:val="19402E68"/>
    <w:rsid w:val="19BA13AE"/>
    <w:rsid w:val="19BE7C49"/>
    <w:rsid w:val="19DD260F"/>
    <w:rsid w:val="19EA1D8E"/>
    <w:rsid w:val="19F754E4"/>
    <w:rsid w:val="1A03077B"/>
    <w:rsid w:val="1A9C5391"/>
    <w:rsid w:val="1ABA5260"/>
    <w:rsid w:val="1BC835B4"/>
    <w:rsid w:val="1D2855CA"/>
    <w:rsid w:val="1DF04C6C"/>
    <w:rsid w:val="1EB27AD3"/>
    <w:rsid w:val="1ED517BE"/>
    <w:rsid w:val="1FB26162"/>
    <w:rsid w:val="20002A9A"/>
    <w:rsid w:val="20D1711D"/>
    <w:rsid w:val="21311468"/>
    <w:rsid w:val="213276BA"/>
    <w:rsid w:val="217E53B2"/>
    <w:rsid w:val="21FC15DB"/>
    <w:rsid w:val="22676B25"/>
    <w:rsid w:val="22DB383A"/>
    <w:rsid w:val="23686E13"/>
    <w:rsid w:val="238603DE"/>
    <w:rsid w:val="23965571"/>
    <w:rsid w:val="23B03820"/>
    <w:rsid w:val="23B8658E"/>
    <w:rsid w:val="23D85380"/>
    <w:rsid w:val="248A10FD"/>
    <w:rsid w:val="260552BE"/>
    <w:rsid w:val="26791EB3"/>
    <w:rsid w:val="26CC0FAA"/>
    <w:rsid w:val="274E2509"/>
    <w:rsid w:val="2793262A"/>
    <w:rsid w:val="27934226"/>
    <w:rsid w:val="27A5103F"/>
    <w:rsid w:val="27D83368"/>
    <w:rsid w:val="27D833ED"/>
    <w:rsid w:val="2877292A"/>
    <w:rsid w:val="28CB1E7F"/>
    <w:rsid w:val="296F47E5"/>
    <w:rsid w:val="29A46C8B"/>
    <w:rsid w:val="29D00762"/>
    <w:rsid w:val="29FA6A5B"/>
    <w:rsid w:val="2A1F4E31"/>
    <w:rsid w:val="2A247F5A"/>
    <w:rsid w:val="2A275D9F"/>
    <w:rsid w:val="2A4C70DD"/>
    <w:rsid w:val="2A7A5C2D"/>
    <w:rsid w:val="2AD27914"/>
    <w:rsid w:val="2AF32FB8"/>
    <w:rsid w:val="2B2A5857"/>
    <w:rsid w:val="2B6F32B8"/>
    <w:rsid w:val="2B7F5CA6"/>
    <w:rsid w:val="2B810D73"/>
    <w:rsid w:val="2B9E17A1"/>
    <w:rsid w:val="2BA82FF1"/>
    <w:rsid w:val="2C4B162F"/>
    <w:rsid w:val="2C7A65FD"/>
    <w:rsid w:val="2C7F4C02"/>
    <w:rsid w:val="2C9B6E0F"/>
    <w:rsid w:val="2CBB6A2E"/>
    <w:rsid w:val="2CF8257E"/>
    <w:rsid w:val="2D496762"/>
    <w:rsid w:val="2D9B2146"/>
    <w:rsid w:val="2E641D37"/>
    <w:rsid w:val="2EB62451"/>
    <w:rsid w:val="2F154FD3"/>
    <w:rsid w:val="2FA43269"/>
    <w:rsid w:val="2FB562C7"/>
    <w:rsid w:val="305D2219"/>
    <w:rsid w:val="306347AE"/>
    <w:rsid w:val="30BF37B5"/>
    <w:rsid w:val="30C53A74"/>
    <w:rsid w:val="30D71C1D"/>
    <w:rsid w:val="30FF24D0"/>
    <w:rsid w:val="31745F1C"/>
    <w:rsid w:val="32392E69"/>
    <w:rsid w:val="326920C0"/>
    <w:rsid w:val="32CE3B50"/>
    <w:rsid w:val="32D568BE"/>
    <w:rsid w:val="332901F1"/>
    <w:rsid w:val="341B3FDD"/>
    <w:rsid w:val="34266209"/>
    <w:rsid w:val="343E7137"/>
    <w:rsid w:val="34992028"/>
    <w:rsid w:val="34BC15D9"/>
    <w:rsid w:val="34CE3C96"/>
    <w:rsid w:val="34CF39BC"/>
    <w:rsid w:val="35505F08"/>
    <w:rsid w:val="357D50E0"/>
    <w:rsid w:val="35D42696"/>
    <w:rsid w:val="35FF3D23"/>
    <w:rsid w:val="3736600E"/>
    <w:rsid w:val="37471532"/>
    <w:rsid w:val="37701BBB"/>
    <w:rsid w:val="377D6AC9"/>
    <w:rsid w:val="378C26FD"/>
    <w:rsid w:val="38074DA7"/>
    <w:rsid w:val="38490938"/>
    <w:rsid w:val="38A626CF"/>
    <w:rsid w:val="39131727"/>
    <w:rsid w:val="391B448B"/>
    <w:rsid w:val="392F0270"/>
    <w:rsid w:val="39317D8E"/>
    <w:rsid w:val="39BD3EB8"/>
    <w:rsid w:val="39D66C47"/>
    <w:rsid w:val="3A526BB0"/>
    <w:rsid w:val="3A60041A"/>
    <w:rsid w:val="3A8077A9"/>
    <w:rsid w:val="3ABD6D01"/>
    <w:rsid w:val="3BAC26AF"/>
    <w:rsid w:val="3BDF5D38"/>
    <w:rsid w:val="3C5F4DF3"/>
    <w:rsid w:val="3C920BB5"/>
    <w:rsid w:val="3CFB4690"/>
    <w:rsid w:val="3DAE7C70"/>
    <w:rsid w:val="3DBD6D29"/>
    <w:rsid w:val="3DE41523"/>
    <w:rsid w:val="3E302D23"/>
    <w:rsid w:val="3EA16961"/>
    <w:rsid w:val="3F10773B"/>
    <w:rsid w:val="3F2817F6"/>
    <w:rsid w:val="3F2F3D4B"/>
    <w:rsid w:val="3F3460BD"/>
    <w:rsid w:val="3F7275C6"/>
    <w:rsid w:val="3F797D49"/>
    <w:rsid w:val="3FA408F2"/>
    <w:rsid w:val="3FCA5CD9"/>
    <w:rsid w:val="3FCD4154"/>
    <w:rsid w:val="3FFB0320"/>
    <w:rsid w:val="40173D43"/>
    <w:rsid w:val="401F4967"/>
    <w:rsid w:val="40284A56"/>
    <w:rsid w:val="402A2B64"/>
    <w:rsid w:val="4040691E"/>
    <w:rsid w:val="4041674D"/>
    <w:rsid w:val="40550877"/>
    <w:rsid w:val="40E635E9"/>
    <w:rsid w:val="40F17E48"/>
    <w:rsid w:val="41531102"/>
    <w:rsid w:val="41537BF7"/>
    <w:rsid w:val="41D92B2B"/>
    <w:rsid w:val="41DF1AEB"/>
    <w:rsid w:val="421B282C"/>
    <w:rsid w:val="421C2A93"/>
    <w:rsid w:val="422F05F5"/>
    <w:rsid w:val="42343230"/>
    <w:rsid w:val="42595A2E"/>
    <w:rsid w:val="431E3D52"/>
    <w:rsid w:val="433A6FC6"/>
    <w:rsid w:val="435A584F"/>
    <w:rsid w:val="438B764D"/>
    <w:rsid w:val="43BE5B25"/>
    <w:rsid w:val="444A5DF3"/>
    <w:rsid w:val="44E80E1C"/>
    <w:rsid w:val="44F56185"/>
    <w:rsid w:val="454C0F8E"/>
    <w:rsid w:val="457500DC"/>
    <w:rsid w:val="459C733D"/>
    <w:rsid w:val="45B7168C"/>
    <w:rsid w:val="45C02814"/>
    <w:rsid w:val="45C42377"/>
    <w:rsid w:val="45E11E92"/>
    <w:rsid w:val="464D6FE0"/>
    <w:rsid w:val="47334840"/>
    <w:rsid w:val="482A4397"/>
    <w:rsid w:val="482A48FE"/>
    <w:rsid w:val="48F160A3"/>
    <w:rsid w:val="494931D0"/>
    <w:rsid w:val="49815FD4"/>
    <w:rsid w:val="498B27FF"/>
    <w:rsid w:val="4A4803E9"/>
    <w:rsid w:val="4A525E27"/>
    <w:rsid w:val="4A5B1B89"/>
    <w:rsid w:val="4A926343"/>
    <w:rsid w:val="4AD45089"/>
    <w:rsid w:val="4B0D1C60"/>
    <w:rsid w:val="4B5823D6"/>
    <w:rsid w:val="4BB607AB"/>
    <w:rsid w:val="4C361341"/>
    <w:rsid w:val="4C42775E"/>
    <w:rsid w:val="4C545E87"/>
    <w:rsid w:val="4C6D0097"/>
    <w:rsid w:val="4CF60CD5"/>
    <w:rsid w:val="4D00729D"/>
    <w:rsid w:val="4D340A60"/>
    <w:rsid w:val="4D43271C"/>
    <w:rsid w:val="4D8D55F6"/>
    <w:rsid w:val="4DBE067B"/>
    <w:rsid w:val="4E6C6343"/>
    <w:rsid w:val="4EB410E4"/>
    <w:rsid w:val="4EED1ACC"/>
    <w:rsid w:val="4F595E71"/>
    <w:rsid w:val="4FA56CE7"/>
    <w:rsid w:val="509F1791"/>
    <w:rsid w:val="51113094"/>
    <w:rsid w:val="511D7284"/>
    <w:rsid w:val="52551229"/>
    <w:rsid w:val="52AB776B"/>
    <w:rsid w:val="531B6016"/>
    <w:rsid w:val="538C7B23"/>
    <w:rsid w:val="53C75DFB"/>
    <w:rsid w:val="54154CED"/>
    <w:rsid w:val="545F3A09"/>
    <w:rsid w:val="54967FD1"/>
    <w:rsid w:val="54B70D35"/>
    <w:rsid w:val="550F1DE7"/>
    <w:rsid w:val="55524F2D"/>
    <w:rsid w:val="55F40DB8"/>
    <w:rsid w:val="57201B3B"/>
    <w:rsid w:val="574037CD"/>
    <w:rsid w:val="579B3083"/>
    <w:rsid w:val="581C5948"/>
    <w:rsid w:val="58AE172C"/>
    <w:rsid w:val="58C253D4"/>
    <w:rsid w:val="5A183F29"/>
    <w:rsid w:val="5A322E6B"/>
    <w:rsid w:val="5AFE10F0"/>
    <w:rsid w:val="5BA746EF"/>
    <w:rsid w:val="5BAF6549"/>
    <w:rsid w:val="5BCC3D0E"/>
    <w:rsid w:val="5BF07D02"/>
    <w:rsid w:val="5C120FCB"/>
    <w:rsid w:val="5C1B570B"/>
    <w:rsid w:val="5C25505D"/>
    <w:rsid w:val="5C617D3E"/>
    <w:rsid w:val="5C8C09DB"/>
    <w:rsid w:val="5D777C27"/>
    <w:rsid w:val="5DCF4401"/>
    <w:rsid w:val="5DF05BB0"/>
    <w:rsid w:val="5E081A0B"/>
    <w:rsid w:val="5E1B17BB"/>
    <w:rsid w:val="5EC91C28"/>
    <w:rsid w:val="5EFE770A"/>
    <w:rsid w:val="5F0E203B"/>
    <w:rsid w:val="5F2146EB"/>
    <w:rsid w:val="5F2D30E0"/>
    <w:rsid w:val="5F3128C9"/>
    <w:rsid w:val="5F3D6D4F"/>
    <w:rsid w:val="5FDF4571"/>
    <w:rsid w:val="60262F94"/>
    <w:rsid w:val="60320B89"/>
    <w:rsid w:val="608C39E9"/>
    <w:rsid w:val="60946659"/>
    <w:rsid w:val="60D137F2"/>
    <w:rsid w:val="60FC7794"/>
    <w:rsid w:val="614532CC"/>
    <w:rsid w:val="61631AB0"/>
    <w:rsid w:val="61CF6C48"/>
    <w:rsid w:val="61FD6C09"/>
    <w:rsid w:val="62582BEE"/>
    <w:rsid w:val="62D43954"/>
    <w:rsid w:val="63401E08"/>
    <w:rsid w:val="634C155F"/>
    <w:rsid w:val="63A67CFF"/>
    <w:rsid w:val="63A70B3A"/>
    <w:rsid w:val="63AA1853"/>
    <w:rsid w:val="63E33E20"/>
    <w:rsid w:val="63F421E1"/>
    <w:rsid w:val="64292FB6"/>
    <w:rsid w:val="646E0E9D"/>
    <w:rsid w:val="64B4350F"/>
    <w:rsid w:val="65020222"/>
    <w:rsid w:val="651B55D6"/>
    <w:rsid w:val="65370DA2"/>
    <w:rsid w:val="65416DF6"/>
    <w:rsid w:val="65645E0B"/>
    <w:rsid w:val="65AC30E5"/>
    <w:rsid w:val="65E81A93"/>
    <w:rsid w:val="65FE24F4"/>
    <w:rsid w:val="660E12C5"/>
    <w:rsid w:val="663B6112"/>
    <w:rsid w:val="669B2133"/>
    <w:rsid w:val="66A51361"/>
    <w:rsid w:val="67AC4971"/>
    <w:rsid w:val="680C4678"/>
    <w:rsid w:val="68283882"/>
    <w:rsid w:val="68AE1692"/>
    <w:rsid w:val="693C671A"/>
    <w:rsid w:val="694B17AD"/>
    <w:rsid w:val="6A7234F6"/>
    <w:rsid w:val="6ACD0F14"/>
    <w:rsid w:val="6ACD33C8"/>
    <w:rsid w:val="6B202F3D"/>
    <w:rsid w:val="6B2410CB"/>
    <w:rsid w:val="6B8732BE"/>
    <w:rsid w:val="6BBA6D2D"/>
    <w:rsid w:val="6BFE593D"/>
    <w:rsid w:val="6C2E5B1C"/>
    <w:rsid w:val="6CA20C2F"/>
    <w:rsid w:val="6CD02EB0"/>
    <w:rsid w:val="6D175ABE"/>
    <w:rsid w:val="6D9F594F"/>
    <w:rsid w:val="6DC45EB1"/>
    <w:rsid w:val="6DED593D"/>
    <w:rsid w:val="6DF8446C"/>
    <w:rsid w:val="6E032E11"/>
    <w:rsid w:val="6E1C72C4"/>
    <w:rsid w:val="6E230FF0"/>
    <w:rsid w:val="6E6B27BF"/>
    <w:rsid w:val="6ED64EA6"/>
    <w:rsid w:val="6F344825"/>
    <w:rsid w:val="6F8A031E"/>
    <w:rsid w:val="6FC72562"/>
    <w:rsid w:val="703E6382"/>
    <w:rsid w:val="70E43D81"/>
    <w:rsid w:val="713C3F22"/>
    <w:rsid w:val="71FC0F5B"/>
    <w:rsid w:val="7285429A"/>
    <w:rsid w:val="7292120B"/>
    <w:rsid w:val="72A82B9A"/>
    <w:rsid w:val="73147DC8"/>
    <w:rsid w:val="732B13D7"/>
    <w:rsid w:val="732E6B82"/>
    <w:rsid w:val="73960EED"/>
    <w:rsid w:val="73B712B3"/>
    <w:rsid w:val="73B90B35"/>
    <w:rsid w:val="73C179F6"/>
    <w:rsid w:val="74BD1350"/>
    <w:rsid w:val="76767CFA"/>
    <w:rsid w:val="76A474C2"/>
    <w:rsid w:val="76BF646F"/>
    <w:rsid w:val="76D83404"/>
    <w:rsid w:val="76E9349D"/>
    <w:rsid w:val="77392B54"/>
    <w:rsid w:val="77852D4C"/>
    <w:rsid w:val="78175E36"/>
    <w:rsid w:val="7835025E"/>
    <w:rsid w:val="78510E7B"/>
    <w:rsid w:val="785A7427"/>
    <w:rsid w:val="78CB7A67"/>
    <w:rsid w:val="78D74B01"/>
    <w:rsid w:val="790E55C0"/>
    <w:rsid w:val="79137E5B"/>
    <w:rsid w:val="79266465"/>
    <w:rsid w:val="796B069D"/>
    <w:rsid w:val="797846B3"/>
    <w:rsid w:val="797F1EE5"/>
    <w:rsid w:val="79AC108B"/>
    <w:rsid w:val="79CD0A37"/>
    <w:rsid w:val="7A2B5BC9"/>
    <w:rsid w:val="7A717BD0"/>
    <w:rsid w:val="7A93334D"/>
    <w:rsid w:val="7AEF5E1A"/>
    <w:rsid w:val="7AF501A2"/>
    <w:rsid w:val="7AFF300C"/>
    <w:rsid w:val="7B2878E8"/>
    <w:rsid w:val="7B805CAF"/>
    <w:rsid w:val="7BBE696E"/>
    <w:rsid w:val="7BDD0DF0"/>
    <w:rsid w:val="7CFC4182"/>
    <w:rsid w:val="7D09294B"/>
    <w:rsid w:val="7D127391"/>
    <w:rsid w:val="7D14269A"/>
    <w:rsid w:val="7D4C6A95"/>
    <w:rsid w:val="7DC6613D"/>
    <w:rsid w:val="7DFB40BB"/>
    <w:rsid w:val="7E1457CD"/>
    <w:rsid w:val="7EE05BF9"/>
    <w:rsid w:val="7F163CEC"/>
    <w:rsid w:val="7F1E73F7"/>
    <w:rsid w:val="7F3A6271"/>
    <w:rsid w:val="7F843B59"/>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spacing w:line="240" w:lineRule="atLeast"/>
      <w:jc w:val="center"/>
      <w:outlineLvl w:val="0"/>
    </w:pPr>
    <w:rPr>
      <w:b/>
    </w:rPr>
  </w:style>
  <w:style w:type="paragraph" w:styleId="3">
    <w:name w:val="heading 2"/>
    <w:basedOn w:val="1"/>
    <w:next w:val="1"/>
    <w:link w:val="59"/>
    <w:qFormat/>
    <w:uiPriority w:val="0"/>
    <w:pPr>
      <w:keepNext/>
      <w:keepLines/>
      <w:spacing w:before="260" w:after="260" w:line="415" w:lineRule="auto"/>
      <w:outlineLvl w:val="1"/>
    </w:pPr>
    <w:rPr>
      <w:rFonts w:ascii="Arial" w:hAnsi="Arial" w:eastAsia="黑体"/>
      <w:b/>
      <w:bCs/>
      <w:sz w:val="28"/>
      <w:szCs w:val="32"/>
    </w:rPr>
  </w:style>
  <w:style w:type="paragraph" w:styleId="4">
    <w:name w:val="heading 3"/>
    <w:basedOn w:val="1"/>
    <w:next w:val="1"/>
    <w:link w:val="140"/>
    <w:qFormat/>
    <w:uiPriority w:val="0"/>
    <w:pPr>
      <w:keepNext/>
      <w:keepLines/>
      <w:spacing w:before="260" w:after="260" w:line="415" w:lineRule="auto"/>
      <w:outlineLvl w:val="2"/>
    </w:pPr>
    <w:rPr>
      <w:b/>
      <w:bCs/>
      <w:sz w:val="32"/>
      <w:szCs w:val="32"/>
    </w:rPr>
  </w:style>
  <w:style w:type="paragraph" w:styleId="5">
    <w:name w:val="heading 4"/>
    <w:basedOn w:val="1"/>
    <w:next w:val="1"/>
    <w:link w:val="169"/>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7"/>
    <w:link w:val="158"/>
    <w:qFormat/>
    <w:uiPriority w:val="0"/>
    <w:pPr>
      <w:keepNext/>
      <w:keepLines/>
      <w:spacing w:before="280" w:after="290" w:line="372" w:lineRule="auto"/>
      <w:outlineLvl w:val="4"/>
    </w:pPr>
    <w:rPr>
      <w:rFonts w:ascii="宋体"/>
      <w:b/>
      <w:kern w:val="0"/>
      <w:sz w:val="28"/>
      <w:szCs w:val="20"/>
    </w:rPr>
  </w:style>
  <w:style w:type="paragraph" w:styleId="8">
    <w:name w:val="heading 6"/>
    <w:basedOn w:val="1"/>
    <w:next w:val="7"/>
    <w:link w:val="135"/>
    <w:qFormat/>
    <w:uiPriority w:val="0"/>
    <w:pPr>
      <w:keepNext/>
      <w:keepLines/>
      <w:spacing w:before="240" w:after="64" w:line="317" w:lineRule="auto"/>
      <w:outlineLvl w:val="5"/>
    </w:pPr>
    <w:rPr>
      <w:rFonts w:ascii="Arial" w:hAnsi="Arial" w:eastAsia="黑体"/>
      <w:b/>
      <w:kern w:val="0"/>
      <w:sz w:val="24"/>
      <w:szCs w:val="20"/>
    </w:rPr>
  </w:style>
  <w:style w:type="paragraph" w:styleId="9">
    <w:name w:val="heading 7"/>
    <w:basedOn w:val="1"/>
    <w:next w:val="7"/>
    <w:link w:val="159"/>
    <w:qFormat/>
    <w:uiPriority w:val="0"/>
    <w:pPr>
      <w:keepNext/>
      <w:keepLines/>
      <w:spacing w:before="240" w:after="64" w:line="317" w:lineRule="auto"/>
      <w:outlineLvl w:val="6"/>
    </w:pPr>
    <w:rPr>
      <w:rFonts w:ascii="宋体"/>
      <w:b/>
      <w:kern w:val="0"/>
      <w:sz w:val="24"/>
      <w:szCs w:val="20"/>
    </w:rPr>
  </w:style>
  <w:style w:type="paragraph" w:styleId="10">
    <w:name w:val="heading 8"/>
    <w:basedOn w:val="1"/>
    <w:next w:val="7"/>
    <w:link w:val="148"/>
    <w:qFormat/>
    <w:uiPriority w:val="0"/>
    <w:pPr>
      <w:keepNext/>
      <w:keepLines/>
      <w:spacing w:before="240" w:after="64" w:line="317" w:lineRule="auto"/>
      <w:outlineLvl w:val="7"/>
    </w:pPr>
    <w:rPr>
      <w:rFonts w:ascii="Arial" w:hAnsi="Arial" w:eastAsia="黑体"/>
      <w:kern w:val="0"/>
      <w:sz w:val="24"/>
      <w:szCs w:val="20"/>
    </w:rPr>
  </w:style>
  <w:style w:type="paragraph" w:styleId="11">
    <w:name w:val="heading 9"/>
    <w:basedOn w:val="1"/>
    <w:next w:val="7"/>
    <w:link w:val="163"/>
    <w:qFormat/>
    <w:uiPriority w:val="0"/>
    <w:pPr>
      <w:keepNext/>
      <w:keepLines/>
      <w:spacing w:before="240" w:after="64" w:line="317" w:lineRule="auto"/>
      <w:outlineLvl w:val="8"/>
    </w:pPr>
    <w:rPr>
      <w:rFonts w:ascii="Arial" w:hAnsi="Arial" w:eastAsia="黑体"/>
      <w:kern w:val="0"/>
      <w:sz w:val="34"/>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41"/>
    <w:qFormat/>
    <w:uiPriority w:val="0"/>
    <w:pPr>
      <w:ind w:firstLine="200" w:firstLineChars="200"/>
    </w:p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Document Map"/>
    <w:basedOn w:val="1"/>
    <w:qFormat/>
    <w:uiPriority w:val="0"/>
    <w:pPr>
      <w:shd w:val="clear" w:color="auto" w:fill="000080"/>
    </w:pPr>
  </w:style>
  <w:style w:type="paragraph" w:styleId="14">
    <w:name w:val="annotation text"/>
    <w:basedOn w:val="1"/>
    <w:link w:val="128"/>
    <w:qFormat/>
    <w:uiPriority w:val="0"/>
    <w:pPr>
      <w:jc w:val="left"/>
    </w:pPr>
  </w:style>
  <w:style w:type="paragraph" w:styleId="15">
    <w:name w:val="Salutation"/>
    <w:basedOn w:val="1"/>
    <w:next w:val="1"/>
    <w:link w:val="152"/>
    <w:unhideWhenUsed/>
    <w:qFormat/>
    <w:uiPriority w:val="99"/>
    <w:rPr>
      <w:bCs/>
      <w:sz w:val="28"/>
      <w:szCs w:val="20"/>
    </w:rPr>
  </w:style>
  <w:style w:type="paragraph" w:styleId="16">
    <w:name w:val="Body Text 3"/>
    <w:basedOn w:val="1"/>
    <w:link w:val="120"/>
    <w:qFormat/>
    <w:uiPriority w:val="0"/>
    <w:pPr>
      <w:spacing w:line="500" w:lineRule="exact"/>
    </w:pPr>
    <w:rPr>
      <w:rFonts w:ascii="宋体"/>
      <w:b/>
      <w:bCs/>
      <w:kern w:val="0"/>
      <w:sz w:val="24"/>
      <w:szCs w:val="20"/>
    </w:rPr>
  </w:style>
  <w:style w:type="paragraph" w:styleId="17">
    <w:name w:val="Body Text"/>
    <w:basedOn w:val="1"/>
    <w:next w:val="1"/>
    <w:link w:val="122"/>
    <w:qFormat/>
    <w:uiPriority w:val="0"/>
    <w:pPr>
      <w:spacing w:after="120"/>
    </w:pPr>
  </w:style>
  <w:style w:type="paragraph" w:styleId="18">
    <w:name w:val="Body Text Indent"/>
    <w:basedOn w:val="1"/>
    <w:next w:val="19"/>
    <w:link w:val="166"/>
    <w:qFormat/>
    <w:uiPriority w:val="0"/>
    <w:pPr>
      <w:ind w:firstLine="630"/>
    </w:pPr>
    <w:rPr>
      <w:sz w:val="32"/>
      <w:szCs w:val="20"/>
    </w:rPr>
  </w:style>
  <w:style w:type="paragraph" w:styleId="19">
    <w:name w:val="envelope return"/>
    <w:basedOn w:val="1"/>
    <w:qFormat/>
    <w:uiPriority w:val="0"/>
    <w:rPr>
      <w:rFonts w:ascii="Arial" w:hAnsi="Arial"/>
    </w:rPr>
  </w:style>
  <w:style w:type="paragraph" w:styleId="20">
    <w:name w:val="Block Text"/>
    <w:basedOn w:val="1"/>
    <w:qFormat/>
    <w:uiPriority w:val="0"/>
    <w:pPr>
      <w:spacing w:line="400" w:lineRule="exact"/>
      <w:ind w:left="-359" w:leftChars="-171" w:right="-687" w:rightChars="-327" w:firstLine="720"/>
    </w:pPr>
    <w:rPr>
      <w:rFonts w:ascii="宋体" w:hAnsi="宋体"/>
      <w:kern w:val="0"/>
      <w:sz w:val="28"/>
      <w:szCs w:val="20"/>
    </w:rPr>
  </w:style>
  <w:style w:type="paragraph" w:styleId="21">
    <w:name w:val="toc 5"/>
    <w:basedOn w:val="1"/>
    <w:next w:val="1"/>
    <w:unhideWhenUsed/>
    <w:qFormat/>
    <w:uiPriority w:val="39"/>
    <w:pPr>
      <w:ind w:left="1680" w:leftChars="800"/>
    </w:pPr>
    <w:rPr>
      <w:rFonts w:ascii="等线" w:hAnsi="等线" w:eastAsia="等线"/>
      <w:szCs w:val="22"/>
    </w:rPr>
  </w:style>
  <w:style w:type="paragraph" w:styleId="22">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23">
    <w:name w:val="Plain Text"/>
    <w:basedOn w:val="1"/>
    <w:link w:val="168"/>
    <w:qFormat/>
    <w:uiPriority w:val="0"/>
    <w:rPr>
      <w:rFonts w:ascii="宋体" w:hAnsi="Courier New"/>
      <w:kern w:val="0"/>
      <w:sz w:val="34"/>
      <w:szCs w:val="21"/>
    </w:rPr>
  </w:style>
  <w:style w:type="paragraph" w:styleId="24">
    <w:name w:val="toc 8"/>
    <w:basedOn w:val="1"/>
    <w:next w:val="1"/>
    <w:unhideWhenUsed/>
    <w:qFormat/>
    <w:uiPriority w:val="39"/>
    <w:pPr>
      <w:ind w:left="2940" w:leftChars="1400"/>
    </w:pPr>
    <w:rPr>
      <w:rFonts w:ascii="等线" w:hAnsi="等线" w:eastAsia="等线"/>
      <w:szCs w:val="22"/>
    </w:rPr>
  </w:style>
  <w:style w:type="paragraph" w:styleId="25">
    <w:name w:val="Date"/>
    <w:basedOn w:val="1"/>
    <w:next w:val="1"/>
    <w:qFormat/>
    <w:uiPriority w:val="0"/>
    <w:pPr>
      <w:ind w:left="100" w:leftChars="2500"/>
    </w:pPr>
  </w:style>
  <w:style w:type="paragraph" w:styleId="26">
    <w:name w:val="Body Text Indent 2"/>
    <w:basedOn w:val="1"/>
    <w:link w:val="131"/>
    <w:qFormat/>
    <w:uiPriority w:val="0"/>
    <w:pPr>
      <w:spacing w:after="120" w:line="480" w:lineRule="auto"/>
      <w:ind w:left="200" w:leftChars="200"/>
    </w:pPr>
  </w:style>
  <w:style w:type="paragraph" w:styleId="27">
    <w:name w:val="Balloon Text"/>
    <w:basedOn w:val="1"/>
    <w:link w:val="149"/>
    <w:qFormat/>
    <w:uiPriority w:val="0"/>
    <w:rPr>
      <w:sz w:val="18"/>
      <w:szCs w:val="18"/>
    </w:rPr>
  </w:style>
  <w:style w:type="paragraph" w:styleId="28">
    <w:name w:val="footer"/>
    <w:basedOn w:val="1"/>
    <w:link w:val="144"/>
    <w:qFormat/>
    <w:uiPriority w:val="99"/>
    <w:pPr>
      <w:tabs>
        <w:tab w:val="center" w:pos="4153"/>
        <w:tab w:val="right" w:pos="8306"/>
      </w:tabs>
      <w:snapToGrid w:val="0"/>
      <w:jc w:val="left"/>
    </w:pPr>
    <w:rPr>
      <w:sz w:val="18"/>
      <w:szCs w:val="20"/>
    </w:rPr>
  </w:style>
  <w:style w:type="paragraph" w:styleId="29">
    <w:name w:val="header"/>
    <w:basedOn w:val="1"/>
    <w:next w:val="17"/>
    <w:link w:val="142"/>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unhideWhenUsed/>
    <w:qFormat/>
    <w:uiPriority w:val="39"/>
    <w:pPr>
      <w:widowControl/>
      <w:jc w:val="left"/>
    </w:pPr>
    <w:rPr>
      <w:rFonts w:ascii="等线" w:hAnsi="等线" w:eastAsia="等线"/>
      <w:kern w:val="0"/>
      <w:sz w:val="22"/>
      <w:szCs w:val="22"/>
    </w:rPr>
  </w:style>
  <w:style w:type="paragraph" w:styleId="31">
    <w:name w:val="toc 4"/>
    <w:basedOn w:val="1"/>
    <w:next w:val="1"/>
    <w:unhideWhenUsed/>
    <w:qFormat/>
    <w:uiPriority w:val="39"/>
    <w:pPr>
      <w:ind w:left="1260" w:leftChars="600"/>
    </w:pPr>
    <w:rPr>
      <w:rFonts w:ascii="等线" w:hAnsi="等线" w:eastAsia="等线"/>
      <w:szCs w:val="22"/>
    </w:rPr>
  </w:style>
  <w:style w:type="paragraph" w:styleId="32">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33">
    <w:name w:val="toc 6"/>
    <w:basedOn w:val="1"/>
    <w:next w:val="1"/>
    <w:unhideWhenUsed/>
    <w:qFormat/>
    <w:uiPriority w:val="39"/>
    <w:pPr>
      <w:ind w:left="2100" w:leftChars="1000"/>
    </w:pPr>
    <w:rPr>
      <w:rFonts w:ascii="等线" w:hAnsi="等线" w:eastAsia="等线"/>
      <w:szCs w:val="22"/>
    </w:rPr>
  </w:style>
  <w:style w:type="paragraph" w:styleId="34">
    <w:name w:val="Body Text Indent 3"/>
    <w:basedOn w:val="1"/>
    <w:link w:val="134"/>
    <w:qFormat/>
    <w:uiPriority w:val="0"/>
    <w:pPr>
      <w:spacing w:after="120"/>
      <w:ind w:left="200" w:leftChars="200"/>
    </w:pPr>
    <w:rPr>
      <w:sz w:val="16"/>
      <w:szCs w:val="16"/>
    </w:rPr>
  </w:style>
  <w:style w:type="paragraph" w:styleId="35">
    <w:name w:val="toc 2"/>
    <w:basedOn w:val="1"/>
    <w:next w:val="1"/>
    <w:unhideWhenUsed/>
    <w:qFormat/>
    <w:uiPriority w:val="39"/>
    <w:pPr>
      <w:widowControl/>
      <w:ind w:firstLine="200" w:firstLineChars="200"/>
      <w:jc w:val="left"/>
    </w:pPr>
    <w:rPr>
      <w:rFonts w:ascii="等线" w:hAnsi="等线" w:eastAsia="等线"/>
      <w:kern w:val="0"/>
      <w:sz w:val="22"/>
      <w:szCs w:val="22"/>
    </w:rPr>
  </w:style>
  <w:style w:type="paragraph" w:styleId="36">
    <w:name w:val="toc 9"/>
    <w:basedOn w:val="1"/>
    <w:next w:val="1"/>
    <w:unhideWhenUsed/>
    <w:qFormat/>
    <w:uiPriority w:val="39"/>
    <w:pPr>
      <w:ind w:left="3360" w:leftChars="1600"/>
    </w:pPr>
    <w:rPr>
      <w:rFonts w:ascii="等线" w:hAnsi="等线" w:eastAsia="等线"/>
      <w:szCs w:val="22"/>
    </w:rPr>
  </w:style>
  <w:style w:type="paragraph" w:styleId="37">
    <w:name w:val="Body Text 2"/>
    <w:basedOn w:val="1"/>
    <w:link w:val="137"/>
    <w:qFormat/>
    <w:uiPriority w:val="0"/>
    <w:pPr>
      <w:spacing w:after="120" w:line="480" w:lineRule="auto"/>
    </w:pPr>
    <w:rPr>
      <w:rFonts w:ascii="宋体"/>
      <w:kern w:val="0"/>
      <w:sz w:val="34"/>
      <w:szCs w:val="20"/>
    </w:rPr>
  </w:style>
  <w:style w:type="paragraph" w:styleId="38">
    <w:name w:val="HTML Preformatted"/>
    <w:basedOn w:val="1"/>
    <w:link w:val="13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4" w:lineRule="atLeast"/>
      <w:jc w:val="left"/>
    </w:pPr>
    <w:rPr>
      <w:rFonts w:ascii="Arial" w:hAnsi="Arial"/>
      <w:kern w:val="0"/>
      <w:sz w:val="20"/>
      <w:szCs w:val="20"/>
    </w:rPr>
  </w:style>
  <w:style w:type="paragraph" w:styleId="39">
    <w:name w:val="Normal (Web)"/>
    <w:basedOn w:val="1"/>
    <w:qFormat/>
    <w:uiPriority w:val="0"/>
    <w:pPr>
      <w:widowControl/>
      <w:spacing w:before="100" w:beforeAutospacing="1" w:after="100" w:afterAutospacing="1"/>
      <w:jc w:val="left"/>
    </w:pPr>
    <w:rPr>
      <w:rFonts w:ascii="宋体"/>
      <w:kern w:val="0"/>
      <w:sz w:val="18"/>
      <w:szCs w:val="18"/>
    </w:rPr>
  </w:style>
  <w:style w:type="paragraph" w:styleId="40">
    <w:name w:val="Title"/>
    <w:basedOn w:val="1"/>
    <w:next w:val="1"/>
    <w:link w:val="126"/>
    <w:qFormat/>
    <w:uiPriority w:val="0"/>
    <w:pPr>
      <w:spacing w:before="240" w:after="60"/>
      <w:jc w:val="center"/>
      <w:outlineLvl w:val="0"/>
    </w:pPr>
    <w:rPr>
      <w:rFonts w:ascii="等线 Light" w:hAnsi="等线 Light"/>
      <w:b/>
      <w:bCs/>
      <w:sz w:val="32"/>
      <w:szCs w:val="32"/>
    </w:rPr>
  </w:style>
  <w:style w:type="paragraph" w:styleId="41">
    <w:name w:val="annotation subject"/>
    <w:basedOn w:val="14"/>
    <w:next w:val="14"/>
    <w:link w:val="167"/>
    <w:qFormat/>
    <w:uiPriority w:val="0"/>
    <w:rPr>
      <w:b/>
      <w:bCs/>
    </w:rPr>
  </w:style>
  <w:style w:type="paragraph" w:styleId="42">
    <w:name w:val="Body Text First Indent"/>
    <w:basedOn w:val="17"/>
    <w:link w:val="129"/>
    <w:qFormat/>
    <w:uiPriority w:val="0"/>
    <w:pPr>
      <w:ind w:firstLine="420" w:firstLineChars="100"/>
    </w:pPr>
    <w:rPr>
      <w:rFonts w:ascii="宋体"/>
      <w:kern w:val="0"/>
      <w:sz w:val="34"/>
      <w:szCs w:val="20"/>
    </w:rPr>
  </w:style>
  <w:style w:type="paragraph" w:styleId="43">
    <w:name w:val="Body Text First Indent 2"/>
    <w:basedOn w:val="18"/>
    <w:next w:val="1"/>
    <w:qFormat/>
    <w:uiPriority w:val="0"/>
    <w:pPr>
      <w:widowControl w:val="0"/>
      <w:adjustRightInd/>
      <w:snapToGrid/>
      <w:ind w:firstLine="420" w:firstLineChars="200"/>
      <w:jc w:val="both"/>
    </w:pPr>
    <w:rPr>
      <w:rFonts w:ascii="Calibri" w:hAnsi="Calibri" w:eastAsia="宋体" w:cs="Times New Roman"/>
      <w:kern w:val="2"/>
      <w:sz w:val="21"/>
      <w:szCs w:val="24"/>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20"/>
  </w:style>
  <w:style w:type="character" w:styleId="51">
    <w:name w:val="HTML Definition"/>
    <w:qFormat/>
    <w:uiPriority w:val="0"/>
  </w:style>
  <w:style w:type="character" w:styleId="52">
    <w:name w:val="HTML Variable"/>
    <w:qFormat/>
    <w:uiPriority w:val="0"/>
  </w:style>
  <w:style w:type="character" w:styleId="53">
    <w:name w:val="Hyperlink"/>
    <w:unhideWhenUsed/>
    <w:qFormat/>
    <w:uiPriority w:val="99"/>
    <w:rPr>
      <w:color w:val="0563C1"/>
      <w:u w:val="single"/>
    </w:rPr>
  </w:style>
  <w:style w:type="character" w:styleId="54">
    <w:name w:val="HTML Code"/>
    <w:basedOn w:val="46"/>
    <w:qFormat/>
    <w:uiPriority w:val="0"/>
    <w:rPr>
      <w:rFonts w:ascii="Courier New" w:hAnsi="Courier New"/>
      <w:sz w:val="20"/>
    </w:rPr>
  </w:style>
  <w:style w:type="character" w:styleId="55">
    <w:name w:val="annotation reference"/>
    <w:qFormat/>
    <w:uiPriority w:val="0"/>
    <w:rPr>
      <w:sz w:val="21"/>
    </w:rPr>
  </w:style>
  <w:style w:type="character" w:styleId="56">
    <w:name w:val="HTML Cite"/>
    <w:qFormat/>
    <w:uiPriority w:val="0"/>
  </w:style>
  <w:style w:type="paragraph" w:customStyle="1" w:styleId="57">
    <w:name w:val="Default"/>
    <w:next w:val="5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toc 21"/>
    <w:next w:val="1"/>
    <w:qFormat/>
    <w:uiPriority w:val="0"/>
    <w:pPr>
      <w:wordWrap w:val="0"/>
      <w:ind w:left="425"/>
      <w:jc w:val="both"/>
    </w:pPr>
    <w:rPr>
      <w:rFonts w:ascii="Times New Roman" w:hAnsi="Times New Roman" w:eastAsia="宋体" w:cs="Times New Roman"/>
      <w:sz w:val="21"/>
      <w:lang w:val="en-US" w:eastAsia="zh-CN" w:bidi="ar-SA"/>
    </w:rPr>
  </w:style>
  <w:style w:type="character" w:customStyle="1" w:styleId="59">
    <w:name w:val="标题 2 Char"/>
    <w:link w:val="3"/>
    <w:qFormat/>
    <w:uiPriority w:val="0"/>
    <w:rPr>
      <w:rFonts w:ascii="Arial" w:hAnsi="Arial" w:eastAsia="黑体"/>
      <w:b/>
      <w:bCs/>
      <w:kern w:val="2"/>
      <w:sz w:val="28"/>
      <w:szCs w:val="32"/>
    </w:rPr>
  </w:style>
  <w:style w:type="paragraph" w:customStyle="1" w:styleId="60">
    <w:name w:val="正文 New"/>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1">
    <w:name w:val="List Paragraph1"/>
    <w:basedOn w:val="1"/>
    <w:qFormat/>
    <w:uiPriority w:val="0"/>
    <w:pPr>
      <w:ind w:firstLine="420" w:firstLineChars="200"/>
    </w:pPr>
    <w:rPr>
      <w:rFonts w:ascii="Calibri" w:hAnsi="Calibri"/>
      <w:szCs w:val="22"/>
    </w:rPr>
  </w:style>
  <w:style w:type="paragraph" w:customStyle="1" w:styleId="62">
    <w:name w:val="Char Char Char Char Char Char Char Char Char Char Char Char Char Char1 Char Char Char Char"/>
    <w:basedOn w:val="1"/>
    <w:qFormat/>
    <w:uiPriority w:val="0"/>
    <w:rPr>
      <w:szCs w:val="21"/>
    </w:rPr>
  </w:style>
  <w:style w:type="paragraph" w:customStyle="1" w:styleId="63">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64">
    <w:name w:val="Char Char Char Char Char Char1 Char"/>
    <w:basedOn w:val="13"/>
    <w:qFormat/>
    <w:uiPriority w:val="0"/>
    <w:rPr>
      <w:rFonts w:ascii="Tahoma" w:hAnsi="Tahoma"/>
      <w:kern w:val="0"/>
      <w:sz w:val="24"/>
    </w:rPr>
  </w:style>
  <w:style w:type="paragraph" w:customStyle="1" w:styleId="65">
    <w:name w:val="标书（正文）"/>
    <w:basedOn w:val="1"/>
    <w:link w:val="145"/>
    <w:qFormat/>
    <w:uiPriority w:val="0"/>
    <w:pPr>
      <w:spacing w:line="360" w:lineRule="auto"/>
      <w:ind w:firstLine="560" w:firstLineChars="200"/>
    </w:pPr>
    <w:rPr>
      <w:rFonts w:ascii="宋体" w:hAnsi="宋体"/>
      <w:b/>
      <w:kern w:val="10"/>
      <w:szCs w:val="20"/>
    </w:rPr>
  </w:style>
  <w:style w:type="paragraph" w:customStyle="1" w:styleId="66">
    <w:name w:val="修订1"/>
    <w:qFormat/>
    <w:uiPriority w:val="0"/>
    <w:rPr>
      <w:rFonts w:ascii="Times New Roman" w:hAnsi="Times New Roman" w:eastAsia="宋体" w:cs="Times New Roman"/>
      <w:kern w:val="2"/>
      <w:sz w:val="21"/>
      <w:szCs w:val="24"/>
      <w:lang w:val="en-US" w:eastAsia="zh-CN" w:bidi="ar-SA"/>
    </w:rPr>
  </w:style>
  <w:style w:type="paragraph" w:customStyle="1" w:styleId="67">
    <w:name w:val="table head"/>
    <w:basedOn w:val="1"/>
    <w:qFormat/>
    <w:uiPriority w:val="0"/>
    <w:pPr>
      <w:keepNext/>
      <w:keepLines/>
      <w:adjustRightInd w:val="0"/>
      <w:spacing w:line="312" w:lineRule="atLeast"/>
      <w:jc w:val="center"/>
      <w:textAlignment w:val="baseline"/>
    </w:pPr>
    <w:rPr>
      <w:rFonts w:ascii="宋体"/>
      <w:b/>
      <w:kern w:val="0"/>
      <w:sz w:val="34"/>
      <w:szCs w:val="20"/>
    </w:rPr>
  </w:style>
  <w:style w:type="paragraph" w:customStyle="1" w:styleId="6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Char11"/>
    <w:basedOn w:val="1"/>
    <w:qFormat/>
    <w:uiPriority w:val="0"/>
    <w:rPr>
      <w:rFonts w:ascii="宋体"/>
      <w:kern w:val="0"/>
      <w:sz w:val="34"/>
      <w:szCs w:val="21"/>
    </w:rPr>
  </w:style>
  <w:style w:type="paragraph" w:customStyle="1" w:styleId="7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2">
    <w:name w:val="Char2"/>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73">
    <w:name w:val="Char Char Char Char Char Char"/>
    <w:basedOn w:val="1"/>
    <w:qFormat/>
    <w:uiPriority w:val="0"/>
    <w:rPr>
      <w:rFonts w:ascii="Tahoma" w:hAnsi="Tahoma"/>
      <w:kern w:val="0"/>
      <w:sz w:val="24"/>
      <w:szCs w:val="20"/>
    </w:rPr>
  </w:style>
  <w:style w:type="paragraph" w:customStyle="1" w:styleId="74">
    <w:name w:val="正文--小4"/>
    <w:basedOn w:val="1"/>
    <w:qFormat/>
    <w:uiPriority w:val="0"/>
    <w:pPr>
      <w:spacing w:line="550" w:lineRule="exact"/>
      <w:ind w:firstLine="200"/>
    </w:pPr>
    <w:rPr>
      <w:rFonts w:ascii="Calibri" w:hAnsi="Calibri" w:eastAsia="仿宋_GB2312"/>
      <w:sz w:val="28"/>
    </w:rPr>
  </w:style>
  <w:style w:type="paragraph" w:customStyle="1" w:styleId="7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76">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7">
    <w:name w:val="样式 首行缩进:  2 字符"/>
    <w:basedOn w:val="1"/>
    <w:qFormat/>
    <w:uiPriority w:val="0"/>
    <w:pPr>
      <w:spacing w:line="400" w:lineRule="exact"/>
      <w:ind w:firstLine="200" w:firstLineChars="200"/>
    </w:pPr>
    <w:rPr>
      <w:rFonts w:cs="宋体"/>
      <w:sz w:val="24"/>
    </w:rPr>
  </w:style>
  <w:style w:type="paragraph" w:customStyle="1" w:styleId="78">
    <w:name w:val="_Style 101"/>
    <w:basedOn w:val="2"/>
    <w:next w:val="1"/>
    <w:qFormat/>
    <w:uiPriority w:val="39"/>
    <w:pPr>
      <w:widowControl/>
      <w:spacing w:before="240" w:line="259" w:lineRule="auto"/>
      <w:jc w:val="left"/>
      <w:outlineLvl w:val="9"/>
    </w:pPr>
    <w:rPr>
      <w:rFonts w:ascii="等线 Light" w:hAnsi="等线 Light" w:eastAsia="等线 Light"/>
      <w:b w:val="0"/>
      <w:bCs/>
      <w:color w:val="2F5496"/>
      <w:kern w:val="0"/>
      <w:sz w:val="32"/>
      <w:szCs w:val="32"/>
    </w:rPr>
  </w:style>
  <w:style w:type="paragraph" w:customStyle="1" w:styleId="79">
    <w:name w:val="TOC 标题1"/>
    <w:basedOn w:val="2"/>
    <w:next w:val="1"/>
    <w:unhideWhenUsed/>
    <w:qFormat/>
    <w:uiPriority w:val="39"/>
    <w:pPr>
      <w:widowControl/>
      <w:spacing w:before="480" w:line="276" w:lineRule="auto"/>
      <w:jc w:val="left"/>
      <w:outlineLvl w:val="9"/>
    </w:pPr>
    <w:rPr>
      <w:rFonts w:ascii="Cambria" w:hAnsi="Cambria"/>
      <w:b w:val="0"/>
      <w:color w:val="365F91"/>
      <w:kern w:val="0"/>
      <w:sz w:val="28"/>
      <w:szCs w:val="28"/>
    </w:rPr>
  </w:style>
  <w:style w:type="paragraph" w:styleId="80">
    <w:name w:val="No Spacing"/>
    <w:link w:val="133"/>
    <w:qFormat/>
    <w:uiPriority w:val="1"/>
    <w:rPr>
      <w:rFonts w:ascii="等线" w:hAnsi="等线" w:eastAsia="等线" w:cs="Times New Roman"/>
      <w:sz w:val="22"/>
      <w:szCs w:val="22"/>
      <w:lang w:val="en-US" w:eastAsia="zh-CN" w:bidi="ar-SA"/>
    </w:rPr>
  </w:style>
  <w:style w:type="paragraph" w:customStyle="1" w:styleId="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纯文本1"/>
    <w:basedOn w:val="1"/>
    <w:qFormat/>
    <w:uiPriority w:val="0"/>
    <w:pPr>
      <w:adjustRightInd w:val="0"/>
      <w:textAlignment w:val="baseline"/>
    </w:pPr>
    <w:rPr>
      <w:rFonts w:ascii="宋体" w:hAnsi="Courier New"/>
      <w:kern w:val="0"/>
      <w:sz w:val="34"/>
      <w:szCs w:val="20"/>
    </w:rPr>
  </w:style>
  <w:style w:type="paragraph" w:customStyle="1" w:styleId="83">
    <w:name w:val="表格"/>
    <w:basedOn w:val="1"/>
    <w:link w:val="138"/>
    <w:qFormat/>
    <w:uiPriority w:val="0"/>
    <w:pPr>
      <w:spacing w:line="400" w:lineRule="exact"/>
    </w:pPr>
    <w:rPr>
      <w:sz w:val="24"/>
    </w:rPr>
  </w:style>
  <w:style w:type="paragraph" w:customStyle="1" w:styleId="84">
    <w:name w:val="GW-正文"/>
    <w:basedOn w:val="1"/>
    <w:link w:val="164"/>
    <w:qFormat/>
    <w:uiPriority w:val="0"/>
    <w:pPr>
      <w:spacing w:line="360" w:lineRule="auto"/>
      <w:ind w:firstLine="200" w:firstLineChars="200"/>
    </w:pPr>
    <w:rPr>
      <w:rFonts w:eastAsia="仿宋_GB2312"/>
      <w:sz w:val="24"/>
    </w:rPr>
  </w:style>
  <w:style w:type="paragraph" w:customStyle="1" w:styleId="85">
    <w:name w:val="Char Char1 Char Char Char Char"/>
    <w:basedOn w:val="1"/>
    <w:qFormat/>
    <w:uiPriority w:val="0"/>
    <w:rPr>
      <w:rFonts w:ascii="宋体"/>
      <w:kern w:val="0"/>
      <w:sz w:val="34"/>
      <w:szCs w:val="20"/>
    </w:rPr>
  </w:style>
  <w:style w:type="paragraph" w:customStyle="1" w:styleId="86">
    <w:name w:val="Char2 Char Char Char"/>
    <w:basedOn w:val="1"/>
    <w:qFormat/>
    <w:uiPriority w:val="0"/>
    <w:rPr>
      <w:rFonts w:ascii="仿宋_GB2312" w:eastAsia="仿宋_GB2312"/>
      <w:b/>
      <w:kern w:val="0"/>
      <w:sz w:val="32"/>
      <w:szCs w:val="32"/>
    </w:rPr>
  </w:style>
  <w:style w:type="paragraph" w:customStyle="1" w:styleId="87">
    <w:name w:val="(符号)四标题1.1"/>
    <w:basedOn w:val="1"/>
    <w:qFormat/>
    <w:uiPriority w:val="0"/>
    <w:pPr>
      <w:tabs>
        <w:tab w:val="left" w:pos="2424"/>
      </w:tabs>
      <w:spacing w:line="500" w:lineRule="exact"/>
    </w:pPr>
    <w:rPr>
      <w:rFonts w:ascii="宋体" w:hAnsi="宋体" w:cs="宋体"/>
      <w:color w:val="000000"/>
      <w:kern w:val="0"/>
      <w:sz w:val="24"/>
      <w:szCs w:val="20"/>
    </w:rPr>
  </w:style>
  <w:style w:type="paragraph" w:customStyle="1" w:styleId="88">
    <w:name w:val="Char"/>
    <w:basedOn w:val="1"/>
    <w:qFormat/>
    <w:uiPriority w:val="0"/>
    <w:rPr>
      <w:rFonts w:ascii="宋体"/>
      <w:kern w:val="0"/>
      <w:sz w:val="34"/>
      <w:szCs w:val="20"/>
    </w:rPr>
  </w:style>
  <w:style w:type="paragraph" w:customStyle="1" w:styleId="89">
    <w:name w:val="plain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0">
    <w:name w:val="Char2 Char Char"/>
    <w:basedOn w:val="13"/>
    <w:qFormat/>
    <w:uiPriority w:val="0"/>
    <w:rPr>
      <w:rFonts w:ascii="Tahoma" w:hAnsi="Tahoma"/>
      <w:sz w:val="24"/>
    </w:rPr>
  </w:style>
  <w:style w:type="paragraph" w:styleId="91">
    <w:name w:val="List Paragraph"/>
    <w:basedOn w:val="1"/>
    <w:link w:val="160"/>
    <w:qFormat/>
    <w:uiPriority w:val="0"/>
    <w:pPr>
      <w:ind w:firstLine="420" w:firstLineChars="200"/>
    </w:pPr>
  </w:style>
  <w:style w:type="paragraph" w:customStyle="1" w:styleId="92">
    <w:name w:val="正文文本 21"/>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93">
    <w:name w:val="Table Text"/>
    <w:basedOn w:val="1"/>
    <w:qFormat/>
    <w:uiPriority w:val="0"/>
    <w:pPr>
      <w:widowControl/>
      <w:spacing w:before="60" w:after="60"/>
      <w:jc w:val="left"/>
    </w:pPr>
    <w:rPr>
      <w:rFonts w:ascii="宋体"/>
      <w:kern w:val="0"/>
      <w:sz w:val="34"/>
      <w:szCs w:val="20"/>
    </w:rPr>
  </w:style>
  <w:style w:type="paragraph" w:customStyle="1" w:styleId="94">
    <w:name w:val="正文首行缩进两字符"/>
    <w:basedOn w:val="1"/>
    <w:qFormat/>
    <w:uiPriority w:val="0"/>
    <w:pPr>
      <w:spacing w:line="360" w:lineRule="auto"/>
      <w:ind w:firstLine="200" w:firstLineChars="200"/>
    </w:pPr>
  </w:style>
  <w:style w:type="paragraph" w:customStyle="1" w:styleId="95">
    <w:name w:val="正文缩进1"/>
    <w:basedOn w:val="1"/>
    <w:next w:val="1"/>
    <w:qFormat/>
    <w:uiPriority w:val="0"/>
    <w:pPr>
      <w:widowControl/>
      <w:ind w:firstLine="420"/>
    </w:pPr>
    <w:rPr>
      <w:rFonts w:ascii="宋体"/>
      <w:color w:val="000000"/>
      <w:kern w:val="0"/>
      <w:sz w:val="34"/>
      <w:szCs w:val="20"/>
    </w:rPr>
  </w:style>
  <w:style w:type="paragraph" w:customStyle="1" w:styleId="96">
    <w:name w:val="样式 目录 2 + 首行缩进:  2 字符"/>
    <w:basedOn w:val="35"/>
    <w:qFormat/>
    <w:uiPriority w:val="0"/>
    <w:pPr>
      <w:widowControl w:val="0"/>
      <w:ind w:firstLine="420"/>
    </w:pPr>
    <w:rPr>
      <w:rFonts w:ascii="Times New Roman" w:hAnsi="Times New Roman" w:eastAsia="宋体" w:cs="宋体"/>
      <w:smallCaps/>
      <w:color w:val="000000"/>
      <w:kern w:val="2"/>
      <w:sz w:val="21"/>
      <w:szCs w:val="20"/>
    </w:rPr>
  </w:style>
  <w:style w:type="paragraph" w:customStyle="1" w:styleId="97">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98">
    <w:name w:val="reader-word-layer reader-word-s2-7"/>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1"/>
    <w:basedOn w:val="1"/>
    <w:qFormat/>
    <w:uiPriority w:val="0"/>
    <w:rPr>
      <w:rFonts w:ascii="仿宋_GB2312" w:eastAsia="仿宋_GB2312"/>
      <w:b/>
      <w:kern w:val="0"/>
      <w:sz w:val="32"/>
      <w:szCs w:val="32"/>
    </w:rPr>
  </w:style>
  <w:style w:type="paragraph" w:customStyle="1" w:styleId="100">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02">
    <w:name w:val="列出段落1"/>
    <w:basedOn w:val="1"/>
    <w:link w:val="151"/>
    <w:qFormat/>
    <w:uiPriority w:val="0"/>
    <w:pPr>
      <w:ind w:firstLine="420" w:firstLineChars="200"/>
    </w:pPr>
    <w:rPr>
      <w:rFonts w:ascii="Calibri" w:hAnsi="Calibri"/>
    </w:rPr>
  </w:style>
  <w:style w:type="paragraph" w:customStyle="1" w:styleId="103">
    <w:name w:val="样式 标题 3白鹤滩3白鹤滩标题 3 + (西文) Arial (中文) 黑体 四号 首行缩进:  2 字符 段前:..."/>
    <w:basedOn w:val="4"/>
    <w:qFormat/>
    <w:uiPriority w:val="0"/>
    <w:pPr>
      <w:spacing w:before="120" w:after="120" w:line="600" w:lineRule="exact"/>
    </w:pPr>
    <w:rPr>
      <w:rFonts w:ascii="Arial" w:hAnsi="Arial" w:eastAsia="黑体" w:cs="宋体"/>
    </w:rPr>
  </w:style>
  <w:style w:type="paragraph" w:customStyle="1" w:styleId="104">
    <w:name w:val="（符号）三标题1.1"/>
    <w:basedOn w:val="1"/>
    <w:link w:val="121"/>
    <w:qFormat/>
    <w:uiPriority w:val="0"/>
    <w:pPr>
      <w:tabs>
        <w:tab w:val="left" w:pos="700"/>
        <w:tab w:val="left" w:pos="840"/>
      </w:tabs>
      <w:spacing w:line="500" w:lineRule="exact"/>
      <w:ind w:left="840" w:hanging="420"/>
    </w:pPr>
    <w:rPr>
      <w:rFonts w:ascii="宋体" w:hAnsi="宋体"/>
      <w:kern w:val="0"/>
      <w:sz w:val="24"/>
    </w:rPr>
  </w:style>
  <w:style w:type="paragraph" w:customStyle="1" w:styleId="10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6">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0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08">
    <w:name w:val="msonormalcxspmiddle"/>
    <w:basedOn w:val="1"/>
    <w:qFormat/>
    <w:uiPriority w:val="0"/>
    <w:pPr>
      <w:spacing w:before="100" w:beforeAutospacing="1" w:after="100" w:afterAutospacing="1"/>
      <w:jc w:val="left"/>
    </w:pPr>
    <w:rPr>
      <w:kern w:val="0"/>
      <w:sz w:val="24"/>
    </w:rPr>
  </w:style>
  <w:style w:type="paragraph" w:customStyle="1" w:styleId="109">
    <w:name w:val="样式 目录 2 + 首行缩进:  2 字符1"/>
    <w:basedOn w:val="35"/>
    <w:qFormat/>
    <w:uiPriority w:val="0"/>
    <w:pPr>
      <w:ind w:firstLine="440"/>
    </w:pPr>
    <w:rPr>
      <w:rFonts w:cs="宋体"/>
      <w:szCs w:val="20"/>
    </w:rPr>
  </w:style>
  <w:style w:type="paragraph" w:customStyle="1" w:styleId="110">
    <w:name w:val="Char2 Char Char1"/>
    <w:basedOn w:val="13"/>
    <w:qFormat/>
    <w:uiPriority w:val="0"/>
    <w:rPr>
      <w:rFonts w:ascii="Tahoma" w:hAnsi="Tahoma"/>
      <w:sz w:val="24"/>
    </w:rPr>
  </w:style>
  <w:style w:type="paragraph" w:customStyle="1" w:styleId="111">
    <w:name w:val="正文2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12">
    <w:name w:val="默认段落字体 Para Char Char Char Char Char Char Char Char Char1 Char Char Char Char"/>
    <w:basedOn w:val="1"/>
    <w:qFormat/>
    <w:uiPriority w:val="0"/>
    <w:rPr>
      <w:rFonts w:ascii="Tahoma" w:hAnsi="Tahoma"/>
      <w:kern w:val="0"/>
      <w:sz w:val="24"/>
      <w:szCs w:val="20"/>
    </w:rPr>
  </w:style>
  <w:style w:type="character" w:customStyle="1" w:styleId="113">
    <w:name w:val="批注文字 字符"/>
    <w:qFormat/>
    <w:uiPriority w:val="0"/>
    <w:rPr>
      <w:kern w:val="2"/>
      <w:sz w:val="21"/>
      <w:szCs w:val="24"/>
    </w:rPr>
  </w:style>
  <w:style w:type="character" w:customStyle="1" w:styleId="114">
    <w:name w:val="textnorm_chn1"/>
    <w:qFormat/>
    <w:uiPriority w:val="0"/>
    <w:rPr>
      <w:rFonts w:hint="default" w:ascii="Arial" w:hAnsi="Arial" w:cs="Arial"/>
      <w:color w:val="21254A"/>
      <w:sz w:val="22"/>
      <w:szCs w:val="22"/>
    </w:rPr>
  </w:style>
  <w:style w:type="character" w:customStyle="1" w:styleId="115">
    <w:name w:val="（符号）邀请函中一、"/>
    <w:qFormat/>
    <w:uiPriority w:val="0"/>
    <w:rPr>
      <w:rFonts w:ascii="黑体" w:eastAsia="黑体"/>
      <w:b/>
      <w:bCs/>
      <w:sz w:val="24"/>
    </w:rPr>
  </w:style>
  <w:style w:type="character" w:customStyle="1" w:styleId="116">
    <w:name w:val="split-word"/>
    <w:qFormat/>
    <w:uiPriority w:val="0"/>
  </w:style>
  <w:style w:type="character" w:customStyle="1" w:styleId="117">
    <w:name w:val="标题 1 Char1"/>
    <w:qFormat/>
    <w:uiPriority w:val="0"/>
    <w:rPr>
      <w:b/>
      <w:bCs/>
      <w:kern w:val="44"/>
      <w:sz w:val="44"/>
      <w:szCs w:val="44"/>
    </w:rPr>
  </w:style>
  <w:style w:type="character" w:customStyle="1" w:styleId="118">
    <w:name w:val="Char Char Char"/>
    <w:qFormat/>
    <w:uiPriority w:val="0"/>
    <w:rPr>
      <w:rFonts w:eastAsia="宋体"/>
      <w:b/>
      <w:kern w:val="2"/>
      <w:sz w:val="32"/>
      <w:lang w:val="en-US" w:eastAsia="zh-CN" w:bidi="ar-SA"/>
    </w:rPr>
  </w:style>
  <w:style w:type="character" w:customStyle="1" w:styleId="119">
    <w:name w:val="标题 3 Char Char Char"/>
    <w:qFormat/>
    <w:uiPriority w:val="0"/>
    <w:rPr>
      <w:rFonts w:eastAsia="宋体"/>
      <w:b/>
      <w:kern w:val="2"/>
      <w:sz w:val="32"/>
      <w:lang w:val="en-US" w:eastAsia="zh-CN" w:bidi="ar-SA"/>
    </w:rPr>
  </w:style>
  <w:style w:type="character" w:customStyle="1" w:styleId="120">
    <w:name w:val="正文文本 3 Char"/>
    <w:link w:val="16"/>
    <w:qFormat/>
    <w:uiPriority w:val="0"/>
    <w:rPr>
      <w:rFonts w:ascii="宋体"/>
      <w:b/>
      <w:bCs/>
      <w:sz w:val="24"/>
    </w:rPr>
  </w:style>
  <w:style w:type="character" w:customStyle="1" w:styleId="121">
    <w:name w:val="（符号）三标题1.1 Char"/>
    <w:link w:val="104"/>
    <w:qFormat/>
    <w:locked/>
    <w:uiPriority w:val="0"/>
    <w:rPr>
      <w:rFonts w:ascii="宋体" w:hAnsi="宋体"/>
      <w:sz w:val="24"/>
      <w:szCs w:val="24"/>
    </w:rPr>
  </w:style>
  <w:style w:type="character" w:customStyle="1" w:styleId="122">
    <w:name w:val="正文文本 Char"/>
    <w:link w:val="17"/>
    <w:qFormat/>
    <w:uiPriority w:val="0"/>
    <w:rPr>
      <w:kern w:val="2"/>
      <w:sz w:val="21"/>
      <w:szCs w:val="24"/>
    </w:rPr>
  </w:style>
  <w:style w:type="character" w:customStyle="1" w:styleId="123">
    <w:name w:val="HTML 预设格式 字符1"/>
    <w:qFormat/>
    <w:uiPriority w:val="0"/>
    <w:rPr>
      <w:rFonts w:ascii="Courier New" w:hAnsi="Courier New" w:cs="Courier New"/>
      <w:kern w:val="2"/>
    </w:rPr>
  </w:style>
  <w:style w:type="character" w:customStyle="1" w:styleId="124">
    <w:name w:val="标题 1 Char"/>
    <w:link w:val="2"/>
    <w:qFormat/>
    <w:uiPriority w:val="9"/>
    <w:rPr>
      <w:rFonts w:ascii="Arial" w:hAnsi="Arial" w:eastAsia="黑体"/>
      <w:bCs/>
      <w:kern w:val="2"/>
      <w:sz w:val="32"/>
      <w:szCs w:val="32"/>
    </w:rPr>
  </w:style>
  <w:style w:type="character" w:customStyle="1" w:styleId="125">
    <w:name w:val="未处理的提及1"/>
    <w:unhideWhenUsed/>
    <w:qFormat/>
    <w:uiPriority w:val="99"/>
    <w:rPr>
      <w:color w:val="808080"/>
      <w:shd w:val="clear" w:color="auto" w:fill="E6E6E6"/>
    </w:rPr>
  </w:style>
  <w:style w:type="character" w:customStyle="1" w:styleId="126">
    <w:name w:val="标题 Char"/>
    <w:link w:val="40"/>
    <w:qFormat/>
    <w:uiPriority w:val="0"/>
    <w:rPr>
      <w:rFonts w:ascii="等线 Light" w:hAnsi="等线 Light" w:cs="Times New Roman"/>
      <w:b/>
      <w:bCs/>
      <w:kern w:val="2"/>
      <w:sz w:val="32"/>
      <w:szCs w:val="32"/>
    </w:rPr>
  </w:style>
  <w:style w:type="character" w:customStyle="1" w:styleId="127">
    <w:name w:val="正文文本 字符"/>
    <w:qFormat/>
    <w:uiPriority w:val="99"/>
    <w:rPr>
      <w:kern w:val="2"/>
      <w:sz w:val="21"/>
      <w:szCs w:val="24"/>
    </w:rPr>
  </w:style>
  <w:style w:type="character" w:customStyle="1" w:styleId="128">
    <w:name w:val="批注文字 Char"/>
    <w:link w:val="14"/>
    <w:qFormat/>
    <w:uiPriority w:val="0"/>
    <w:rPr>
      <w:kern w:val="2"/>
      <w:sz w:val="21"/>
      <w:szCs w:val="24"/>
    </w:rPr>
  </w:style>
  <w:style w:type="character" w:customStyle="1" w:styleId="129">
    <w:name w:val="正文首行缩进 Char"/>
    <w:link w:val="42"/>
    <w:qFormat/>
    <w:uiPriority w:val="0"/>
    <w:rPr>
      <w:rFonts w:ascii="宋体"/>
      <w:kern w:val="2"/>
      <w:sz w:val="34"/>
      <w:szCs w:val="24"/>
    </w:rPr>
  </w:style>
  <w:style w:type="character" w:customStyle="1" w:styleId="130">
    <w:name w:val="HTML 预设格式 Char"/>
    <w:link w:val="38"/>
    <w:qFormat/>
    <w:uiPriority w:val="99"/>
    <w:rPr>
      <w:rFonts w:ascii="Arial" w:hAnsi="Arial"/>
    </w:rPr>
  </w:style>
  <w:style w:type="character" w:customStyle="1" w:styleId="131">
    <w:name w:val="正文文本缩进 2 Char"/>
    <w:link w:val="26"/>
    <w:qFormat/>
    <w:uiPriority w:val="0"/>
    <w:rPr>
      <w:kern w:val="2"/>
      <w:sz w:val="21"/>
      <w:szCs w:val="24"/>
    </w:rPr>
  </w:style>
  <w:style w:type="character" w:customStyle="1" w:styleId="132">
    <w:name w:val="批注文字 Char1"/>
    <w:qFormat/>
    <w:uiPriority w:val="0"/>
    <w:rPr>
      <w:kern w:val="2"/>
      <w:sz w:val="21"/>
      <w:szCs w:val="24"/>
    </w:rPr>
  </w:style>
  <w:style w:type="character" w:customStyle="1" w:styleId="133">
    <w:name w:val="无间隔 Char"/>
    <w:link w:val="80"/>
    <w:qFormat/>
    <w:uiPriority w:val="1"/>
    <w:rPr>
      <w:rFonts w:ascii="等线" w:hAnsi="等线" w:eastAsia="等线"/>
      <w:sz w:val="22"/>
      <w:szCs w:val="22"/>
      <w:lang w:bidi="ar-SA"/>
    </w:rPr>
  </w:style>
  <w:style w:type="character" w:customStyle="1" w:styleId="134">
    <w:name w:val="正文文本缩进 3 Char"/>
    <w:link w:val="34"/>
    <w:qFormat/>
    <w:uiPriority w:val="0"/>
    <w:rPr>
      <w:sz w:val="16"/>
      <w:szCs w:val="16"/>
    </w:rPr>
  </w:style>
  <w:style w:type="character" w:customStyle="1" w:styleId="135">
    <w:name w:val="标题 6 Char"/>
    <w:link w:val="8"/>
    <w:qFormat/>
    <w:uiPriority w:val="0"/>
    <w:rPr>
      <w:rFonts w:ascii="Arial" w:hAnsi="Arial" w:eastAsia="黑体"/>
      <w:b/>
      <w:sz w:val="24"/>
    </w:rPr>
  </w:style>
  <w:style w:type="character" w:customStyle="1" w:styleId="136">
    <w:name w:val="font31"/>
    <w:qFormat/>
    <w:uiPriority w:val="0"/>
    <w:rPr>
      <w:rFonts w:hint="eastAsia" w:ascii="宋体" w:hAnsi="宋体" w:eastAsia="宋体" w:cs="宋体"/>
      <w:color w:val="000000"/>
      <w:sz w:val="21"/>
      <w:szCs w:val="21"/>
      <w:u w:val="none"/>
    </w:rPr>
  </w:style>
  <w:style w:type="character" w:customStyle="1" w:styleId="137">
    <w:name w:val="正文文本 2 Char"/>
    <w:link w:val="37"/>
    <w:qFormat/>
    <w:uiPriority w:val="0"/>
    <w:rPr>
      <w:rFonts w:ascii="宋体"/>
      <w:sz w:val="34"/>
    </w:rPr>
  </w:style>
  <w:style w:type="character" w:customStyle="1" w:styleId="138">
    <w:name w:val="表格 Char Char"/>
    <w:link w:val="83"/>
    <w:qFormat/>
    <w:uiPriority w:val="0"/>
    <w:rPr>
      <w:kern w:val="2"/>
      <w:sz w:val="24"/>
      <w:szCs w:val="24"/>
    </w:rPr>
  </w:style>
  <w:style w:type="character" w:customStyle="1" w:styleId="139">
    <w:name w:val="unnamed31"/>
    <w:qFormat/>
    <w:uiPriority w:val="0"/>
    <w:rPr>
      <w:sz w:val="22"/>
      <w:szCs w:val="22"/>
    </w:rPr>
  </w:style>
  <w:style w:type="character" w:customStyle="1" w:styleId="140">
    <w:name w:val="标题 3 Char"/>
    <w:basedOn w:val="46"/>
    <w:link w:val="4"/>
    <w:qFormat/>
    <w:uiPriority w:val="0"/>
    <w:rPr>
      <w:b/>
      <w:bCs/>
      <w:kern w:val="2"/>
      <w:sz w:val="32"/>
      <w:szCs w:val="32"/>
    </w:rPr>
  </w:style>
  <w:style w:type="character" w:customStyle="1" w:styleId="141">
    <w:name w:val="正文缩进 Char"/>
    <w:link w:val="7"/>
    <w:qFormat/>
    <w:uiPriority w:val="0"/>
    <w:rPr>
      <w:kern w:val="2"/>
      <w:sz w:val="21"/>
      <w:szCs w:val="24"/>
    </w:rPr>
  </w:style>
  <w:style w:type="character" w:customStyle="1" w:styleId="142">
    <w:name w:val="页眉 Char"/>
    <w:link w:val="29"/>
    <w:qFormat/>
    <w:uiPriority w:val="99"/>
    <w:rPr>
      <w:kern w:val="2"/>
      <w:sz w:val="18"/>
    </w:rPr>
  </w:style>
  <w:style w:type="character" w:customStyle="1" w:styleId="143">
    <w:name w:val="页脚 Char"/>
    <w:qFormat/>
    <w:uiPriority w:val="99"/>
    <w:rPr>
      <w:rFonts w:eastAsia="Calibri"/>
      <w:sz w:val="21"/>
    </w:rPr>
  </w:style>
  <w:style w:type="character" w:customStyle="1" w:styleId="144">
    <w:name w:val="页脚 Char1"/>
    <w:link w:val="28"/>
    <w:qFormat/>
    <w:uiPriority w:val="0"/>
    <w:rPr>
      <w:kern w:val="2"/>
      <w:sz w:val="18"/>
    </w:rPr>
  </w:style>
  <w:style w:type="character" w:customStyle="1" w:styleId="145">
    <w:name w:val="标书（正文） Char Char"/>
    <w:link w:val="65"/>
    <w:qFormat/>
    <w:uiPriority w:val="0"/>
    <w:rPr>
      <w:rFonts w:ascii="宋体" w:hAnsi="宋体"/>
      <w:b/>
      <w:kern w:val="10"/>
      <w:sz w:val="21"/>
    </w:rPr>
  </w:style>
  <w:style w:type="character" w:customStyle="1" w:styleId="146">
    <w:name w:val="words-outer-wrap"/>
    <w:qFormat/>
    <w:uiPriority w:val="0"/>
  </w:style>
  <w:style w:type="character" w:customStyle="1" w:styleId="147">
    <w:name w:val="页眉 Char1"/>
    <w:qFormat/>
    <w:uiPriority w:val="0"/>
    <w:rPr>
      <w:rFonts w:eastAsia="宋体"/>
      <w:kern w:val="2"/>
      <w:sz w:val="18"/>
      <w:lang w:val="en-US" w:eastAsia="zh-CN" w:bidi="ar-SA"/>
    </w:rPr>
  </w:style>
  <w:style w:type="character" w:customStyle="1" w:styleId="148">
    <w:name w:val="标题 8 Char"/>
    <w:link w:val="10"/>
    <w:qFormat/>
    <w:uiPriority w:val="0"/>
    <w:rPr>
      <w:rFonts w:ascii="Arial" w:hAnsi="Arial" w:eastAsia="黑体"/>
      <w:sz w:val="24"/>
    </w:rPr>
  </w:style>
  <w:style w:type="character" w:customStyle="1" w:styleId="149">
    <w:name w:val="批注框文本 Char"/>
    <w:link w:val="27"/>
    <w:qFormat/>
    <w:uiPriority w:val="0"/>
    <w:rPr>
      <w:kern w:val="2"/>
      <w:sz w:val="18"/>
      <w:szCs w:val="18"/>
    </w:rPr>
  </w:style>
  <w:style w:type="character" w:customStyle="1" w:styleId="150">
    <w:name w:val="标题 Char1"/>
    <w:qFormat/>
    <w:uiPriority w:val="0"/>
    <w:rPr>
      <w:rFonts w:ascii="Cambria" w:hAnsi="Cambria" w:cs="Times New Roman"/>
      <w:b/>
      <w:bCs/>
      <w:kern w:val="2"/>
      <w:sz w:val="32"/>
      <w:szCs w:val="32"/>
    </w:rPr>
  </w:style>
  <w:style w:type="character" w:customStyle="1" w:styleId="151">
    <w:name w:val="列出段落 字符"/>
    <w:link w:val="102"/>
    <w:qFormat/>
    <w:uiPriority w:val="0"/>
    <w:rPr>
      <w:rFonts w:ascii="Calibri" w:hAnsi="Calibri"/>
      <w:kern w:val="2"/>
      <w:sz w:val="21"/>
      <w:szCs w:val="24"/>
    </w:rPr>
  </w:style>
  <w:style w:type="character" w:customStyle="1" w:styleId="152">
    <w:name w:val="称呼 Char"/>
    <w:link w:val="15"/>
    <w:qFormat/>
    <w:uiPriority w:val="99"/>
    <w:rPr>
      <w:bCs/>
      <w:kern w:val="2"/>
      <w:sz w:val="28"/>
    </w:rPr>
  </w:style>
  <w:style w:type="character" w:customStyle="1" w:styleId="153">
    <w:name w:val="标题 2 Char Char"/>
    <w:qFormat/>
    <w:uiPriority w:val="0"/>
    <w:rPr>
      <w:rFonts w:ascii="Arial" w:hAnsi="Arial" w:eastAsia="黑体"/>
      <w:b/>
      <w:kern w:val="2"/>
      <w:sz w:val="28"/>
      <w:lang w:val="en-US" w:eastAsia="zh-CN" w:bidi="ar-SA"/>
    </w:rPr>
  </w:style>
  <w:style w:type="character" w:customStyle="1" w:styleId="154">
    <w:name w:val="font101"/>
    <w:qFormat/>
    <w:uiPriority w:val="0"/>
    <w:rPr>
      <w:rFonts w:hint="eastAsia" w:ascii="宋体" w:hAnsi="宋体" w:eastAsia="宋体" w:cs="宋体"/>
      <w:color w:val="000000"/>
      <w:sz w:val="21"/>
      <w:szCs w:val="21"/>
      <w:u w:val="single"/>
    </w:rPr>
  </w:style>
  <w:style w:type="character" w:customStyle="1" w:styleId="155">
    <w:name w:val="label"/>
    <w:qFormat/>
    <w:uiPriority w:val="0"/>
    <w:rPr>
      <w:color w:val="555555"/>
    </w:rPr>
  </w:style>
  <w:style w:type="character" w:customStyle="1" w:styleId="156">
    <w:name w:val="正文首行缩进两字符 Char Char"/>
    <w:qFormat/>
    <w:uiPriority w:val="0"/>
    <w:rPr>
      <w:rFonts w:eastAsia="宋体"/>
      <w:kern w:val="2"/>
      <w:sz w:val="21"/>
      <w:szCs w:val="24"/>
      <w:lang w:val="en-US" w:eastAsia="zh-CN" w:bidi="ar-SA"/>
    </w:rPr>
  </w:style>
  <w:style w:type="character" w:customStyle="1" w:styleId="157">
    <w:name w:val="modifier"/>
    <w:qFormat/>
    <w:uiPriority w:val="0"/>
    <w:rPr>
      <w:color w:val="FF0000"/>
    </w:rPr>
  </w:style>
  <w:style w:type="character" w:customStyle="1" w:styleId="158">
    <w:name w:val="标题 5 Char"/>
    <w:link w:val="6"/>
    <w:qFormat/>
    <w:uiPriority w:val="0"/>
    <w:rPr>
      <w:rFonts w:ascii="宋体"/>
      <w:b/>
      <w:sz w:val="28"/>
    </w:rPr>
  </w:style>
  <w:style w:type="character" w:customStyle="1" w:styleId="159">
    <w:name w:val="标题 7 Char"/>
    <w:link w:val="9"/>
    <w:qFormat/>
    <w:uiPriority w:val="0"/>
    <w:rPr>
      <w:rFonts w:ascii="宋体"/>
      <w:b/>
      <w:sz w:val="24"/>
    </w:rPr>
  </w:style>
  <w:style w:type="character" w:customStyle="1" w:styleId="160">
    <w:name w:val="列出段落 Char"/>
    <w:link w:val="91"/>
    <w:qFormat/>
    <w:uiPriority w:val="0"/>
    <w:rPr>
      <w:kern w:val="2"/>
      <w:sz w:val="21"/>
      <w:szCs w:val="24"/>
    </w:rPr>
  </w:style>
  <w:style w:type="character" w:customStyle="1" w:styleId="161">
    <w:name w:val="font91"/>
    <w:qFormat/>
    <w:uiPriority w:val="0"/>
    <w:rPr>
      <w:rFonts w:hint="eastAsia" w:ascii="宋体" w:hAnsi="宋体" w:eastAsia="宋体" w:cs="宋体"/>
      <w:color w:val="FF0000"/>
      <w:sz w:val="21"/>
      <w:szCs w:val="21"/>
      <w:u w:val="single"/>
    </w:rPr>
  </w:style>
  <w:style w:type="character" w:customStyle="1" w:styleId="162">
    <w:name w:val="Char Char9"/>
    <w:qFormat/>
    <w:uiPriority w:val="0"/>
    <w:rPr>
      <w:kern w:val="2"/>
      <w:sz w:val="21"/>
    </w:rPr>
  </w:style>
  <w:style w:type="character" w:customStyle="1" w:styleId="163">
    <w:name w:val="标题 9 Char"/>
    <w:link w:val="11"/>
    <w:qFormat/>
    <w:uiPriority w:val="0"/>
    <w:rPr>
      <w:rFonts w:ascii="Arial" w:hAnsi="Arial" w:eastAsia="黑体"/>
      <w:sz w:val="34"/>
    </w:rPr>
  </w:style>
  <w:style w:type="character" w:customStyle="1" w:styleId="164">
    <w:name w:val="GW-正文 Char"/>
    <w:link w:val="84"/>
    <w:qFormat/>
    <w:uiPriority w:val="0"/>
    <w:rPr>
      <w:rFonts w:eastAsia="仿宋_GB2312"/>
      <w:kern w:val="2"/>
      <w:sz w:val="24"/>
      <w:szCs w:val="24"/>
    </w:rPr>
  </w:style>
  <w:style w:type="character" w:customStyle="1" w:styleId="165">
    <w:name w:val="font111"/>
    <w:qFormat/>
    <w:uiPriority w:val="0"/>
    <w:rPr>
      <w:rFonts w:hint="default" w:ascii="Eʩ" w:hAnsi="Eʩ" w:eastAsia="Eʩ" w:cs="Eʩ"/>
      <w:color w:val="000000"/>
      <w:sz w:val="21"/>
      <w:szCs w:val="21"/>
      <w:u w:val="single"/>
    </w:rPr>
  </w:style>
  <w:style w:type="character" w:customStyle="1" w:styleId="166">
    <w:name w:val="正文文本缩进 Char"/>
    <w:link w:val="18"/>
    <w:qFormat/>
    <w:uiPriority w:val="0"/>
    <w:rPr>
      <w:kern w:val="2"/>
      <w:sz w:val="32"/>
    </w:rPr>
  </w:style>
  <w:style w:type="character" w:customStyle="1" w:styleId="167">
    <w:name w:val="批注主题 Char"/>
    <w:link w:val="41"/>
    <w:qFormat/>
    <w:uiPriority w:val="0"/>
    <w:rPr>
      <w:b/>
      <w:bCs/>
      <w:kern w:val="2"/>
      <w:sz w:val="21"/>
      <w:szCs w:val="24"/>
    </w:rPr>
  </w:style>
  <w:style w:type="character" w:customStyle="1" w:styleId="168">
    <w:name w:val="纯文本 Char"/>
    <w:link w:val="23"/>
    <w:qFormat/>
    <w:uiPriority w:val="0"/>
    <w:rPr>
      <w:rFonts w:ascii="宋体" w:hAnsi="Courier New"/>
      <w:sz w:val="34"/>
      <w:szCs w:val="21"/>
    </w:rPr>
  </w:style>
  <w:style w:type="character" w:customStyle="1" w:styleId="169">
    <w:name w:val="标题 4 Char"/>
    <w:link w:val="5"/>
    <w:qFormat/>
    <w:uiPriority w:val="0"/>
    <w:rPr>
      <w:rFonts w:ascii="Arial" w:hAnsi="Arial" w:eastAsia="黑体"/>
      <w:b/>
      <w:bCs/>
      <w:sz w:val="28"/>
      <w:szCs w:val="28"/>
    </w:rPr>
  </w:style>
  <w:style w:type="table" w:customStyle="1" w:styleId="170">
    <w:name w:val="Table Normal1"/>
    <w:unhideWhenUsed/>
    <w:qFormat/>
    <w:uiPriority w:val="2"/>
    <w:tblPr>
      <w:tblCellMar>
        <w:top w:w="0" w:type="dxa"/>
        <w:left w:w="0" w:type="dxa"/>
        <w:bottom w:w="0" w:type="dxa"/>
        <w:right w:w="0" w:type="dxa"/>
      </w:tblCellMar>
    </w:tblPr>
  </w:style>
  <w:style w:type="paragraph" w:customStyle="1" w:styleId="17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2">
    <w:name w:val="正文文本 23"/>
    <w:basedOn w:val="1"/>
    <w:qFormat/>
    <w:uiPriority w:val="0"/>
    <w:pPr>
      <w:adjustRightInd w:val="0"/>
      <w:spacing w:line="300" w:lineRule="auto"/>
      <w:jc w:val="center"/>
      <w:textAlignment w:val="baseline"/>
    </w:pPr>
    <w:rPr>
      <w:rFonts w:hAnsi="宋体"/>
      <w:sz w:val="24"/>
    </w:rPr>
  </w:style>
  <w:style w:type="character" w:customStyle="1" w:styleId="173">
    <w:name w:val="img"/>
    <w:basedOn w:val="46"/>
    <w:qFormat/>
    <w:uiPriority w:val="0"/>
  </w:style>
  <w:style w:type="character" w:customStyle="1" w:styleId="174">
    <w:name w:val="img1"/>
    <w:basedOn w:val="46"/>
    <w:qFormat/>
    <w:uiPriority w:val="0"/>
  </w:style>
  <w:style w:type="paragraph" w:customStyle="1" w:styleId="175">
    <w:name w:val="_Style 2"/>
    <w:basedOn w:val="1"/>
    <w:qFormat/>
    <w:uiPriority w:val="0"/>
    <w:pPr>
      <w:ind w:firstLine="420" w:firstLineChars="200"/>
    </w:pPr>
    <w:rPr>
      <w:sz w:val="18"/>
      <w:szCs w:val="18"/>
    </w:rPr>
  </w:style>
  <w:style w:type="character" w:customStyle="1" w:styleId="17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8FECE-E781-4614-B948-DBBD21CCB989}">
  <ds:schemaRefs/>
</ds:datastoreItem>
</file>

<file path=docProps/app.xml><?xml version="1.0" encoding="utf-8"?>
<Properties xmlns="http://schemas.openxmlformats.org/officeDocument/2006/extended-properties" xmlns:vt="http://schemas.openxmlformats.org/officeDocument/2006/docPropsVTypes">
  <Template>Normal</Template>
  <Company>文汇电脑工作室</Company>
  <Pages>45</Pages>
  <Words>22304</Words>
  <Characters>23142</Characters>
  <Lines>413</Lines>
  <Paragraphs>116</Paragraphs>
  <TotalTime>1</TotalTime>
  <ScaleCrop>false</ScaleCrop>
  <LinksUpToDate>false</LinksUpToDate>
  <CharactersWithSpaces>24697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2018-04-04T03:51:00Z</dcterms:created>
  <dc:creator>雨林木风</dc:creator>
  <cp:lastModifiedBy>王波</cp:lastModifiedBy>
  <cp:lastPrinted>2019-05-06T02:37:00Z</cp:lastPrinted>
  <dcterms:modified xsi:type="dcterms:W3CDTF">2025-08-15T03:53:27Z</dcterms:modified>
  <dc:title>招标编号：xx政采招[xxxx] xx号</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853244B169464EE5B3F4B02CD9EA7C9E_13</vt:lpwstr>
  </property>
  <property fmtid="{D5CDD505-2E9C-101B-9397-08002B2CF9AE}" pid="4" name="KSOTemplateDocerSaveRecord">
    <vt:lpwstr>eyJoZGlkIjoiN2IxMjIzY2M1MDJiZjVmMGIyZDllNzU3ZTc0YzJmOWIiLCJ1c2VySWQiOiIxNjQzNDQzMDI0In0=</vt:lpwstr>
  </property>
</Properties>
</file>